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autoSpaceDE/>
        <w:autoSpaceDN/>
        <w:bidi w:val="0"/>
        <w:adjustRightInd w:val="0"/>
        <w:snapToGrid w:val="0"/>
        <w:spacing w:before="157" w:beforeLines="50" w:after="157" w:afterLines="5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b/>
          <w:color w:val="auto"/>
          <w:sz w:val="28"/>
          <w:szCs w:val="28"/>
          <w:lang w:eastAsia="zh-CN"/>
        </w:rPr>
      </w:pPr>
      <w:bookmarkStart w:id="192" w:name="_GoBack"/>
      <w:bookmarkEnd w:id="192"/>
    </w:p>
    <w:p>
      <w:pPr>
        <w:keepNext w:val="0"/>
        <w:keepLines w:val="0"/>
        <w:pageBreakBefore w:val="0"/>
        <w:widowControl w:val="0"/>
        <w:kinsoku/>
        <w:wordWrap/>
        <w:overflowPunct/>
        <w:topLinePunct/>
        <w:autoSpaceDE/>
        <w:autoSpaceDN/>
        <w:bidi w:val="0"/>
        <w:adjustRightInd w:val="0"/>
        <w:snapToGrid w:val="0"/>
        <w:spacing w:before="164" w:beforeLines="50" w:after="164" w:afterLines="50" w:line="360" w:lineRule="auto"/>
        <w:ind w:left="0" w:leftChars="0" w:right="0" w:rightChars="0" w:firstLine="0" w:firstLineChars="0"/>
        <w:jc w:val="center"/>
        <w:textAlignment w:val="auto"/>
        <w:outlineLvl w:val="9"/>
        <w:rPr>
          <w:rFonts w:hint="eastAsia" w:ascii="黑体" w:hAnsi="黑体" w:eastAsia="黑体" w:cs="黑体"/>
          <w:color w:val="auto"/>
          <w:sz w:val="32"/>
          <w:szCs w:val="32"/>
        </w:rPr>
      </w:pPr>
      <w:r>
        <w:rPr>
          <w:rFonts w:hint="eastAsia" w:ascii="黑体" w:hAnsi="黑体" w:eastAsia="黑体" w:cs="黑体"/>
          <w:b/>
          <w:bCs/>
          <w:color w:val="auto"/>
          <w:sz w:val="32"/>
          <w:szCs w:val="32"/>
        </w:rPr>
        <w:t>目  录</w:t>
      </w:r>
    </w:p>
    <w:p>
      <w:pPr>
        <w:pStyle w:val="9"/>
        <w:tabs>
          <w:tab w:val="right" w:leader="dot" w:pos="8787"/>
        </w:tabs>
        <w:rPr>
          <w:color w:val="auto"/>
        </w:rPr>
      </w:pPr>
      <w:r>
        <w:rPr>
          <w:rFonts w:hint="default" w:ascii="仿宋_GB2312" w:hAnsi="仿宋_GB2312" w:eastAsia="仿宋_GB2312" w:cs="仿宋_GB2312"/>
          <w:b w:val="0"/>
          <w:bCs w:val="0"/>
          <w:caps w:val="0"/>
          <w:color w:val="auto"/>
          <w:sz w:val="28"/>
        </w:rPr>
        <w:fldChar w:fldCharType="begin"/>
      </w:r>
      <w:r>
        <w:rPr>
          <w:rFonts w:hint="default" w:ascii="仿宋_GB2312" w:hAnsi="仿宋_GB2312" w:eastAsia="仿宋_GB2312" w:cs="仿宋_GB2312"/>
          <w:b w:val="0"/>
          <w:bCs w:val="0"/>
          <w:caps w:val="0"/>
          <w:color w:val="auto"/>
          <w:sz w:val="28"/>
        </w:rPr>
        <w:instrText xml:space="preserve"> TOC \o "1-2" \h \z \u </w:instrText>
      </w:r>
      <w:r>
        <w:rPr>
          <w:rFonts w:hint="default" w:ascii="仿宋_GB2312" w:hAnsi="仿宋_GB2312" w:eastAsia="仿宋_GB2312" w:cs="仿宋_GB2312"/>
          <w:b w:val="0"/>
          <w:bCs w:val="0"/>
          <w:caps w:val="0"/>
          <w:color w:val="auto"/>
          <w:sz w:val="28"/>
        </w:rPr>
        <w:fldChar w:fldCharType="separate"/>
      </w:r>
      <w:r>
        <w:rPr>
          <w:rFonts w:hint="default" w:ascii="仿宋_GB2312" w:hAnsi="仿宋_GB2312" w:eastAsia="仿宋_GB2312" w:cs="仿宋_GB2312"/>
          <w:bCs w:val="0"/>
          <w:caps w:val="0"/>
          <w:color w:val="auto"/>
        </w:rPr>
        <w:fldChar w:fldCharType="begin"/>
      </w:r>
      <w:r>
        <w:rPr>
          <w:rFonts w:hint="default" w:ascii="仿宋_GB2312" w:hAnsi="仿宋_GB2312" w:eastAsia="仿宋_GB2312" w:cs="仿宋_GB2312"/>
          <w:bCs w:val="0"/>
          <w:caps w:val="0"/>
          <w:color w:val="auto"/>
        </w:rPr>
        <w:instrText xml:space="preserve"> HYPERLINK \l _Toc739 </w:instrText>
      </w:r>
      <w:r>
        <w:rPr>
          <w:rFonts w:hint="default" w:ascii="仿宋_GB2312" w:hAnsi="仿宋_GB2312" w:eastAsia="仿宋_GB2312" w:cs="仿宋_GB2312"/>
          <w:bCs w:val="0"/>
          <w:caps w:val="0"/>
          <w:color w:val="auto"/>
        </w:rPr>
        <w:fldChar w:fldCharType="separate"/>
      </w:r>
      <w:r>
        <w:rPr>
          <w:rFonts w:hint="default"/>
          <w:color w:val="auto"/>
        </w:rPr>
        <w:t>1 建设项目及水土保持工作概况</w:t>
      </w:r>
      <w:r>
        <w:rPr>
          <w:color w:val="auto"/>
        </w:rPr>
        <w:tab/>
      </w:r>
      <w:r>
        <w:rPr>
          <w:color w:val="auto"/>
        </w:rPr>
        <w:fldChar w:fldCharType="begin"/>
      </w:r>
      <w:r>
        <w:rPr>
          <w:color w:val="auto"/>
        </w:rPr>
        <w:instrText xml:space="preserve"> PAGEREF _Toc739 </w:instrText>
      </w:r>
      <w:r>
        <w:rPr>
          <w:color w:val="auto"/>
        </w:rPr>
        <w:fldChar w:fldCharType="separate"/>
      </w:r>
      <w:r>
        <w:rPr>
          <w:color w:val="auto"/>
        </w:rPr>
        <w:t>1</w:t>
      </w:r>
      <w:r>
        <w:rPr>
          <w:color w:val="auto"/>
        </w:rPr>
        <w:fldChar w:fldCharType="end"/>
      </w:r>
      <w:r>
        <w:rPr>
          <w:rFonts w:hint="default" w:ascii="仿宋_GB2312" w:hAnsi="仿宋_GB2312" w:eastAsia="仿宋_GB2312" w:cs="仿宋_GB2312"/>
          <w:bCs w:val="0"/>
          <w:caps w:val="0"/>
          <w:color w:val="auto"/>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_Toc20899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1.1项目概况</w:t>
      </w:r>
      <w:r>
        <w:rPr>
          <w:color w:val="auto"/>
        </w:rPr>
        <w:tab/>
      </w:r>
      <w:r>
        <w:rPr>
          <w:color w:val="auto"/>
        </w:rPr>
        <w:fldChar w:fldCharType="begin"/>
      </w:r>
      <w:r>
        <w:rPr>
          <w:color w:val="auto"/>
        </w:rPr>
        <w:instrText xml:space="preserve"> PAGEREF _Toc20899 </w:instrText>
      </w:r>
      <w:r>
        <w:rPr>
          <w:color w:val="auto"/>
        </w:rPr>
        <w:fldChar w:fldCharType="separate"/>
      </w:r>
      <w:r>
        <w:rPr>
          <w:color w:val="auto"/>
        </w:rPr>
        <w:t>1</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_Toc21137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eastAsia"/>
          <w:color w:val="auto"/>
          <w:lang w:val="en-US" w:eastAsia="zh-CN"/>
        </w:rPr>
        <w:t>1.2.</w:t>
      </w:r>
      <w:r>
        <w:rPr>
          <w:rFonts w:hint="eastAsia"/>
          <w:color w:val="auto"/>
          <w:lang w:eastAsia="zh-CN"/>
        </w:rPr>
        <w:t>项目区概况</w:t>
      </w:r>
      <w:r>
        <w:rPr>
          <w:color w:val="auto"/>
        </w:rPr>
        <w:tab/>
      </w:r>
      <w:r>
        <w:rPr>
          <w:color w:val="auto"/>
        </w:rPr>
        <w:fldChar w:fldCharType="begin"/>
      </w:r>
      <w:r>
        <w:rPr>
          <w:color w:val="auto"/>
        </w:rPr>
        <w:instrText xml:space="preserve"> PAGEREF _Toc21137 </w:instrText>
      </w:r>
      <w:r>
        <w:rPr>
          <w:color w:val="auto"/>
        </w:rPr>
        <w:fldChar w:fldCharType="separate"/>
      </w:r>
      <w:r>
        <w:rPr>
          <w:color w:val="auto"/>
        </w:rPr>
        <w:t>7</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_Toc21803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1.</w:t>
      </w:r>
      <w:r>
        <w:rPr>
          <w:rFonts w:hint="eastAsia"/>
          <w:color w:val="auto"/>
          <w:lang w:val="en-US" w:eastAsia="zh-CN"/>
        </w:rPr>
        <w:t>3</w:t>
      </w:r>
      <w:r>
        <w:rPr>
          <w:rFonts w:hint="default"/>
          <w:color w:val="auto"/>
        </w:rPr>
        <w:t>水土流失防治工作情况</w:t>
      </w:r>
      <w:r>
        <w:rPr>
          <w:color w:val="auto"/>
        </w:rPr>
        <w:tab/>
      </w:r>
      <w:r>
        <w:rPr>
          <w:color w:val="auto"/>
        </w:rPr>
        <w:fldChar w:fldCharType="begin"/>
      </w:r>
      <w:r>
        <w:rPr>
          <w:color w:val="auto"/>
        </w:rPr>
        <w:instrText xml:space="preserve"> PAGEREF _Toc21803 </w:instrText>
      </w:r>
      <w:r>
        <w:rPr>
          <w:color w:val="auto"/>
        </w:rPr>
        <w:fldChar w:fldCharType="separate"/>
      </w:r>
      <w:r>
        <w:rPr>
          <w:color w:val="auto"/>
        </w:rPr>
        <w:t>8</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_Toc5727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1.</w:t>
      </w:r>
      <w:r>
        <w:rPr>
          <w:rFonts w:hint="eastAsia"/>
          <w:color w:val="auto"/>
          <w:lang w:val="en-US" w:eastAsia="zh-CN"/>
        </w:rPr>
        <w:t>4</w:t>
      </w:r>
      <w:r>
        <w:rPr>
          <w:rFonts w:hint="default"/>
          <w:color w:val="auto"/>
        </w:rPr>
        <w:t>监测工作实施概况</w:t>
      </w:r>
      <w:r>
        <w:rPr>
          <w:color w:val="auto"/>
        </w:rPr>
        <w:tab/>
      </w:r>
      <w:r>
        <w:rPr>
          <w:color w:val="auto"/>
        </w:rPr>
        <w:fldChar w:fldCharType="begin"/>
      </w:r>
      <w:r>
        <w:rPr>
          <w:color w:val="auto"/>
        </w:rPr>
        <w:instrText xml:space="preserve"> PAGEREF _Toc5727 </w:instrText>
      </w:r>
      <w:r>
        <w:rPr>
          <w:color w:val="auto"/>
        </w:rPr>
        <w:fldChar w:fldCharType="separate"/>
      </w:r>
      <w:r>
        <w:rPr>
          <w:color w:val="auto"/>
        </w:rPr>
        <w:t>9</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9"/>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_Toc11309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2监测内容、方法及过程</w:t>
      </w:r>
      <w:r>
        <w:rPr>
          <w:color w:val="auto"/>
        </w:rPr>
        <w:tab/>
      </w:r>
      <w:r>
        <w:rPr>
          <w:color w:val="auto"/>
        </w:rPr>
        <w:fldChar w:fldCharType="begin"/>
      </w:r>
      <w:r>
        <w:rPr>
          <w:color w:val="auto"/>
        </w:rPr>
        <w:instrText xml:space="preserve"> PAGEREF _Toc11309 </w:instrText>
      </w:r>
      <w:r>
        <w:rPr>
          <w:color w:val="auto"/>
        </w:rPr>
        <w:fldChar w:fldCharType="separate"/>
      </w:r>
      <w:r>
        <w:rPr>
          <w:color w:val="auto"/>
        </w:rPr>
        <w:t>12</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_Toc311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2.1监测内容</w:t>
      </w:r>
      <w:r>
        <w:rPr>
          <w:color w:val="auto"/>
        </w:rPr>
        <w:tab/>
      </w:r>
      <w:r>
        <w:rPr>
          <w:color w:val="auto"/>
        </w:rPr>
        <w:fldChar w:fldCharType="begin"/>
      </w:r>
      <w:r>
        <w:rPr>
          <w:color w:val="auto"/>
        </w:rPr>
        <w:instrText xml:space="preserve"> PAGEREF _Toc311 </w:instrText>
      </w:r>
      <w:r>
        <w:rPr>
          <w:color w:val="auto"/>
        </w:rPr>
        <w:fldChar w:fldCharType="separate"/>
      </w:r>
      <w:r>
        <w:rPr>
          <w:color w:val="auto"/>
        </w:rPr>
        <w:t>12</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_Toc5800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2.2监测方法</w:t>
      </w:r>
      <w:r>
        <w:rPr>
          <w:color w:val="auto"/>
        </w:rPr>
        <w:tab/>
      </w:r>
      <w:r>
        <w:rPr>
          <w:color w:val="auto"/>
        </w:rPr>
        <w:fldChar w:fldCharType="begin"/>
      </w:r>
      <w:r>
        <w:rPr>
          <w:color w:val="auto"/>
        </w:rPr>
        <w:instrText xml:space="preserve"> PAGEREF _Toc5800 </w:instrText>
      </w:r>
      <w:r>
        <w:rPr>
          <w:color w:val="auto"/>
        </w:rPr>
        <w:fldChar w:fldCharType="separate"/>
      </w:r>
      <w:r>
        <w:rPr>
          <w:color w:val="auto"/>
        </w:rPr>
        <w:t>15</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_Toc20692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2.3监测过程</w:t>
      </w:r>
      <w:r>
        <w:rPr>
          <w:color w:val="auto"/>
        </w:rPr>
        <w:tab/>
      </w:r>
      <w:r>
        <w:rPr>
          <w:color w:val="auto"/>
        </w:rPr>
        <w:fldChar w:fldCharType="begin"/>
      </w:r>
      <w:r>
        <w:rPr>
          <w:color w:val="auto"/>
        </w:rPr>
        <w:instrText xml:space="preserve"> PAGEREF _Toc20692 </w:instrText>
      </w:r>
      <w:r>
        <w:rPr>
          <w:color w:val="auto"/>
        </w:rPr>
        <w:fldChar w:fldCharType="separate"/>
      </w:r>
      <w:r>
        <w:rPr>
          <w:color w:val="auto"/>
        </w:rPr>
        <w:t>18</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9"/>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_Toc19011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3 重点部位水土流失动态监测结果</w:t>
      </w:r>
      <w:r>
        <w:rPr>
          <w:color w:val="auto"/>
        </w:rPr>
        <w:tab/>
      </w:r>
      <w:r>
        <w:rPr>
          <w:color w:val="auto"/>
        </w:rPr>
        <w:fldChar w:fldCharType="begin"/>
      </w:r>
      <w:r>
        <w:rPr>
          <w:color w:val="auto"/>
        </w:rPr>
        <w:instrText xml:space="preserve"> PAGEREF _Toc19011 </w:instrText>
      </w:r>
      <w:r>
        <w:rPr>
          <w:color w:val="auto"/>
        </w:rPr>
        <w:fldChar w:fldCharType="separate"/>
      </w:r>
      <w:r>
        <w:rPr>
          <w:color w:val="auto"/>
        </w:rPr>
        <w:t>20</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_Toc24528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3.1防治责任范围监测结果</w:t>
      </w:r>
      <w:r>
        <w:rPr>
          <w:color w:val="auto"/>
        </w:rPr>
        <w:tab/>
      </w:r>
      <w:r>
        <w:rPr>
          <w:color w:val="auto"/>
        </w:rPr>
        <w:fldChar w:fldCharType="begin"/>
      </w:r>
      <w:r>
        <w:rPr>
          <w:color w:val="auto"/>
        </w:rPr>
        <w:instrText xml:space="preserve"> PAGEREF _Toc24528 </w:instrText>
      </w:r>
      <w:r>
        <w:rPr>
          <w:color w:val="auto"/>
        </w:rPr>
        <w:fldChar w:fldCharType="separate"/>
      </w:r>
      <w:r>
        <w:rPr>
          <w:color w:val="auto"/>
        </w:rPr>
        <w:t>20</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_Toc27792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3.2取土（石）监测结果</w:t>
      </w:r>
      <w:r>
        <w:rPr>
          <w:color w:val="auto"/>
        </w:rPr>
        <w:tab/>
      </w:r>
      <w:r>
        <w:rPr>
          <w:color w:val="auto"/>
        </w:rPr>
        <w:fldChar w:fldCharType="begin"/>
      </w:r>
      <w:r>
        <w:rPr>
          <w:color w:val="auto"/>
        </w:rPr>
        <w:instrText xml:space="preserve"> PAGEREF _Toc27792 </w:instrText>
      </w:r>
      <w:r>
        <w:rPr>
          <w:color w:val="auto"/>
        </w:rPr>
        <w:fldChar w:fldCharType="separate"/>
      </w:r>
      <w:r>
        <w:rPr>
          <w:color w:val="auto"/>
        </w:rPr>
        <w:t>22</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_Toc9543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3.3弃土监测结果</w:t>
      </w:r>
      <w:r>
        <w:rPr>
          <w:color w:val="auto"/>
        </w:rPr>
        <w:tab/>
      </w:r>
      <w:r>
        <w:rPr>
          <w:color w:val="auto"/>
        </w:rPr>
        <w:fldChar w:fldCharType="begin"/>
      </w:r>
      <w:r>
        <w:rPr>
          <w:color w:val="auto"/>
        </w:rPr>
        <w:instrText xml:space="preserve"> PAGEREF _Toc9543 </w:instrText>
      </w:r>
      <w:r>
        <w:rPr>
          <w:color w:val="auto"/>
        </w:rPr>
        <w:fldChar w:fldCharType="separate"/>
      </w:r>
      <w:r>
        <w:rPr>
          <w:color w:val="auto"/>
        </w:rPr>
        <w:t>23</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9"/>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_Toc18602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4 水土流失防治措施监测结果</w:t>
      </w:r>
      <w:r>
        <w:rPr>
          <w:color w:val="auto"/>
        </w:rPr>
        <w:tab/>
      </w:r>
      <w:r>
        <w:rPr>
          <w:color w:val="auto"/>
        </w:rPr>
        <w:fldChar w:fldCharType="begin"/>
      </w:r>
      <w:r>
        <w:rPr>
          <w:color w:val="auto"/>
        </w:rPr>
        <w:instrText xml:space="preserve"> PAGEREF _Toc18602 </w:instrText>
      </w:r>
      <w:r>
        <w:rPr>
          <w:color w:val="auto"/>
        </w:rPr>
        <w:fldChar w:fldCharType="separate"/>
      </w:r>
      <w:r>
        <w:rPr>
          <w:color w:val="auto"/>
        </w:rPr>
        <w:t>25</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_Toc30359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4.1工程措施监测结果</w:t>
      </w:r>
      <w:r>
        <w:rPr>
          <w:color w:val="auto"/>
        </w:rPr>
        <w:tab/>
      </w:r>
      <w:r>
        <w:rPr>
          <w:color w:val="auto"/>
        </w:rPr>
        <w:fldChar w:fldCharType="begin"/>
      </w:r>
      <w:r>
        <w:rPr>
          <w:color w:val="auto"/>
        </w:rPr>
        <w:instrText xml:space="preserve"> PAGEREF _Toc30359 </w:instrText>
      </w:r>
      <w:r>
        <w:rPr>
          <w:color w:val="auto"/>
        </w:rPr>
        <w:fldChar w:fldCharType="separate"/>
      </w:r>
      <w:r>
        <w:rPr>
          <w:color w:val="auto"/>
        </w:rPr>
        <w:t>25</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_Toc25212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4.2植物措施监测结果</w:t>
      </w:r>
      <w:r>
        <w:rPr>
          <w:color w:val="auto"/>
        </w:rPr>
        <w:tab/>
      </w:r>
      <w:r>
        <w:rPr>
          <w:color w:val="auto"/>
        </w:rPr>
        <w:fldChar w:fldCharType="begin"/>
      </w:r>
      <w:r>
        <w:rPr>
          <w:color w:val="auto"/>
        </w:rPr>
        <w:instrText xml:space="preserve"> PAGEREF _Toc25212 </w:instrText>
      </w:r>
      <w:r>
        <w:rPr>
          <w:color w:val="auto"/>
        </w:rPr>
        <w:fldChar w:fldCharType="separate"/>
      </w:r>
      <w:r>
        <w:rPr>
          <w:color w:val="auto"/>
        </w:rPr>
        <w:t>25</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_Toc17402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4.</w:t>
      </w:r>
      <w:r>
        <w:rPr>
          <w:rFonts w:hint="eastAsia"/>
          <w:color w:val="auto"/>
          <w:lang w:val="en-US" w:eastAsia="zh-CN"/>
        </w:rPr>
        <w:t>3</w:t>
      </w:r>
      <w:r>
        <w:rPr>
          <w:rFonts w:hint="default"/>
          <w:color w:val="auto"/>
        </w:rPr>
        <w:t>水土保持措施防治效果</w:t>
      </w:r>
      <w:r>
        <w:rPr>
          <w:color w:val="auto"/>
        </w:rPr>
        <w:tab/>
      </w:r>
      <w:r>
        <w:rPr>
          <w:color w:val="auto"/>
        </w:rPr>
        <w:fldChar w:fldCharType="begin"/>
      </w:r>
      <w:r>
        <w:rPr>
          <w:color w:val="auto"/>
        </w:rPr>
        <w:instrText xml:space="preserve"> PAGEREF _Toc17402 </w:instrText>
      </w:r>
      <w:r>
        <w:rPr>
          <w:color w:val="auto"/>
        </w:rPr>
        <w:fldChar w:fldCharType="separate"/>
      </w:r>
      <w:r>
        <w:rPr>
          <w:color w:val="auto"/>
        </w:rPr>
        <w:t>26</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9"/>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_Toc23914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5 土壤流失量分析</w:t>
      </w:r>
      <w:r>
        <w:rPr>
          <w:color w:val="auto"/>
        </w:rPr>
        <w:tab/>
      </w:r>
      <w:r>
        <w:rPr>
          <w:color w:val="auto"/>
        </w:rPr>
        <w:fldChar w:fldCharType="begin"/>
      </w:r>
      <w:r>
        <w:rPr>
          <w:color w:val="auto"/>
        </w:rPr>
        <w:instrText xml:space="preserve"> PAGEREF _Toc23914 </w:instrText>
      </w:r>
      <w:r>
        <w:rPr>
          <w:color w:val="auto"/>
        </w:rPr>
        <w:fldChar w:fldCharType="separate"/>
      </w:r>
      <w:r>
        <w:rPr>
          <w:color w:val="auto"/>
        </w:rPr>
        <w:t>42</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_Toc3853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5.1水土流失面积</w:t>
      </w:r>
      <w:r>
        <w:rPr>
          <w:color w:val="auto"/>
        </w:rPr>
        <w:tab/>
      </w:r>
      <w:r>
        <w:rPr>
          <w:color w:val="auto"/>
        </w:rPr>
        <w:fldChar w:fldCharType="begin"/>
      </w:r>
      <w:r>
        <w:rPr>
          <w:color w:val="auto"/>
        </w:rPr>
        <w:instrText xml:space="preserve"> PAGEREF _Toc3853 </w:instrText>
      </w:r>
      <w:r>
        <w:rPr>
          <w:color w:val="auto"/>
        </w:rPr>
        <w:fldChar w:fldCharType="separate"/>
      </w:r>
      <w:r>
        <w:rPr>
          <w:color w:val="auto"/>
        </w:rPr>
        <w:t>42</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_Toc6463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5.2 土壤流失量</w:t>
      </w:r>
      <w:r>
        <w:rPr>
          <w:color w:val="auto"/>
        </w:rPr>
        <w:tab/>
      </w:r>
      <w:r>
        <w:rPr>
          <w:color w:val="auto"/>
        </w:rPr>
        <w:fldChar w:fldCharType="begin"/>
      </w:r>
      <w:r>
        <w:rPr>
          <w:color w:val="auto"/>
        </w:rPr>
        <w:instrText xml:space="preserve"> PAGEREF _Toc6463 </w:instrText>
      </w:r>
      <w:r>
        <w:rPr>
          <w:color w:val="auto"/>
        </w:rPr>
        <w:fldChar w:fldCharType="separate"/>
      </w:r>
      <w:r>
        <w:rPr>
          <w:color w:val="auto"/>
        </w:rPr>
        <w:t>42</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_Toc4742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5.4水土流失危害</w:t>
      </w:r>
      <w:r>
        <w:rPr>
          <w:color w:val="auto"/>
        </w:rPr>
        <w:tab/>
      </w:r>
      <w:r>
        <w:rPr>
          <w:color w:val="auto"/>
        </w:rPr>
        <w:fldChar w:fldCharType="begin"/>
      </w:r>
      <w:r>
        <w:rPr>
          <w:color w:val="auto"/>
        </w:rPr>
        <w:instrText xml:space="preserve"> PAGEREF _Toc4742 </w:instrText>
      </w:r>
      <w:r>
        <w:rPr>
          <w:color w:val="auto"/>
        </w:rPr>
        <w:fldChar w:fldCharType="separate"/>
      </w:r>
      <w:r>
        <w:rPr>
          <w:color w:val="auto"/>
        </w:rPr>
        <w:t>44</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9"/>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_Toc16266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6水土流失防治效果监测结果</w:t>
      </w:r>
      <w:r>
        <w:rPr>
          <w:color w:val="auto"/>
        </w:rPr>
        <w:tab/>
      </w:r>
      <w:r>
        <w:rPr>
          <w:color w:val="auto"/>
        </w:rPr>
        <w:fldChar w:fldCharType="begin"/>
      </w:r>
      <w:r>
        <w:rPr>
          <w:color w:val="auto"/>
        </w:rPr>
        <w:instrText xml:space="preserve"> PAGEREF _Toc16266 </w:instrText>
      </w:r>
      <w:r>
        <w:rPr>
          <w:color w:val="auto"/>
        </w:rPr>
        <w:fldChar w:fldCharType="separate"/>
      </w:r>
      <w:r>
        <w:rPr>
          <w:color w:val="auto"/>
        </w:rPr>
        <w:t>45</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_Toc3238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6.1扰动土地整治率</w:t>
      </w:r>
      <w:r>
        <w:rPr>
          <w:color w:val="auto"/>
        </w:rPr>
        <w:tab/>
      </w:r>
      <w:r>
        <w:rPr>
          <w:color w:val="auto"/>
        </w:rPr>
        <w:fldChar w:fldCharType="begin"/>
      </w:r>
      <w:r>
        <w:rPr>
          <w:color w:val="auto"/>
        </w:rPr>
        <w:instrText xml:space="preserve"> PAGEREF _Toc3238 </w:instrText>
      </w:r>
      <w:r>
        <w:rPr>
          <w:color w:val="auto"/>
        </w:rPr>
        <w:fldChar w:fldCharType="separate"/>
      </w:r>
      <w:r>
        <w:rPr>
          <w:color w:val="auto"/>
        </w:rPr>
        <w:t>45</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_Toc3273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6.3拦渣率</w:t>
      </w:r>
      <w:r>
        <w:rPr>
          <w:color w:val="auto"/>
        </w:rPr>
        <w:tab/>
      </w:r>
      <w:r>
        <w:rPr>
          <w:color w:val="auto"/>
        </w:rPr>
        <w:fldChar w:fldCharType="begin"/>
      </w:r>
      <w:r>
        <w:rPr>
          <w:color w:val="auto"/>
        </w:rPr>
        <w:instrText xml:space="preserve"> PAGEREF _Toc3273 </w:instrText>
      </w:r>
      <w:r>
        <w:rPr>
          <w:color w:val="auto"/>
        </w:rPr>
        <w:fldChar w:fldCharType="separate"/>
      </w:r>
      <w:r>
        <w:rPr>
          <w:color w:val="auto"/>
        </w:rPr>
        <w:t>45</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_Toc27177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6.4土壤流失控制比</w:t>
      </w:r>
      <w:r>
        <w:rPr>
          <w:color w:val="auto"/>
        </w:rPr>
        <w:tab/>
      </w:r>
      <w:r>
        <w:rPr>
          <w:color w:val="auto"/>
        </w:rPr>
        <w:fldChar w:fldCharType="begin"/>
      </w:r>
      <w:r>
        <w:rPr>
          <w:color w:val="auto"/>
        </w:rPr>
        <w:instrText xml:space="preserve"> PAGEREF _Toc27177 </w:instrText>
      </w:r>
      <w:r>
        <w:rPr>
          <w:color w:val="auto"/>
        </w:rPr>
        <w:fldChar w:fldCharType="separate"/>
      </w:r>
      <w:r>
        <w:rPr>
          <w:color w:val="auto"/>
        </w:rPr>
        <w:t>45</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_Toc15387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6.5林草植被恢复率</w:t>
      </w:r>
      <w:r>
        <w:rPr>
          <w:color w:val="auto"/>
        </w:rPr>
        <w:tab/>
      </w:r>
      <w:r>
        <w:rPr>
          <w:color w:val="auto"/>
        </w:rPr>
        <w:fldChar w:fldCharType="begin"/>
      </w:r>
      <w:r>
        <w:rPr>
          <w:color w:val="auto"/>
        </w:rPr>
        <w:instrText xml:space="preserve"> PAGEREF _Toc15387 </w:instrText>
      </w:r>
      <w:r>
        <w:rPr>
          <w:color w:val="auto"/>
        </w:rPr>
        <w:fldChar w:fldCharType="separate"/>
      </w:r>
      <w:r>
        <w:rPr>
          <w:color w:val="auto"/>
        </w:rPr>
        <w:t>45</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_Toc15810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6.6林草覆盖率</w:t>
      </w:r>
      <w:r>
        <w:rPr>
          <w:color w:val="auto"/>
        </w:rPr>
        <w:tab/>
      </w:r>
      <w:r>
        <w:rPr>
          <w:color w:val="auto"/>
        </w:rPr>
        <w:fldChar w:fldCharType="begin"/>
      </w:r>
      <w:r>
        <w:rPr>
          <w:color w:val="auto"/>
        </w:rPr>
        <w:instrText xml:space="preserve"> PAGEREF _Toc15810 </w:instrText>
      </w:r>
      <w:r>
        <w:rPr>
          <w:color w:val="auto"/>
        </w:rPr>
        <w:fldChar w:fldCharType="separate"/>
      </w:r>
      <w:r>
        <w:rPr>
          <w:color w:val="auto"/>
        </w:rPr>
        <w:t>46</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_Toc29004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eastAsia"/>
          <w:color w:val="auto"/>
          <w:lang w:val="en-US" w:eastAsia="zh-CN"/>
        </w:rPr>
        <w:t>6.7</w:t>
      </w:r>
      <w:r>
        <w:rPr>
          <w:color w:val="auto"/>
        </w:rPr>
        <w:t>水土保持效果达标情况</w:t>
      </w:r>
      <w:r>
        <w:rPr>
          <w:color w:val="auto"/>
        </w:rPr>
        <w:tab/>
      </w:r>
      <w:r>
        <w:rPr>
          <w:color w:val="auto"/>
        </w:rPr>
        <w:fldChar w:fldCharType="begin"/>
      </w:r>
      <w:r>
        <w:rPr>
          <w:color w:val="auto"/>
        </w:rPr>
        <w:instrText xml:space="preserve"> PAGEREF _Toc29004 </w:instrText>
      </w:r>
      <w:r>
        <w:rPr>
          <w:color w:val="auto"/>
        </w:rPr>
        <w:fldChar w:fldCharType="separate"/>
      </w:r>
      <w:r>
        <w:rPr>
          <w:color w:val="auto"/>
        </w:rPr>
        <w:t>48</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9"/>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_Toc4193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7 结论</w:t>
      </w:r>
      <w:r>
        <w:rPr>
          <w:color w:val="auto"/>
        </w:rPr>
        <w:tab/>
      </w:r>
      <w:r>
        <w:rPr>
          <w:color w:val="auto"/>
        </w:rPr>
        <w:fldChar w:fldCharType="begin"/>
      </w:r>
      <w:r>
        <w:rPr>
          <w:color w:val="auto"/>
        </w:rPr>
        <w:instrText xml:space="preserve"> PAGEREF _Toc4193 </w:instrText>
      </w:r>
      <w:r>
        <w:rPr>
          <w:color w:val="auto"/>
        </w:rPr>
        <w:fldChar w:fldCharType="separate"/>
      </w:r>
      <w:r>
        <w:rPr>
          <w:color w:val="auto"/>
        </w:rPr>
        <w:t>49</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_Toc7288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7.1水土流失动态变化</w:t>
      </w:r>
      <w:r>
        <w:rPr>
          <w:color w:val="auto"/>
        </w:rPr>
        <w:tab/>
      </w:r>
      <w:r>
        <w:rPr>
          <w:color w:val="auto"/>
        </w:rPr>
        <w:fldChar w:fldCharType="begin"/>
      </w:r>
      <w:r>
        <w:rPr>
          <w:color w:val="auto"/>
        </w:rPr>
        <w:instrText xml:space="preserve"> PAGEREF _Toc7288 </w:instrText>
      </w:r>
      <w:r>
        <w:rPr>
          <w:color w:val="auto"/>
        </w:rPr>
        <w:fldChar w:fldCharType="separate"/>
      </w:r>
      <w:r>
        <w:rPr>
          <w:color w:val="auto"/>
        </w:rPr>
        <w:t>49</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_Toc14558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7.2水土保持措施评价</w:t>
      </w:r>
      <w:r>
        <w:rPr>
          <w:color w:val="auto"/>
        </w:rPr>
        <w:tab/>
      </w:r>
      <w:r>
        <w:rPr>
          <w:color w:val="auto"/>
        </w:rPr>
        <w:fldChar w:fldCharType="begin"/>
      </w:r>
      <w:r>
        <w:rPr>
          <w:color w:val="auto"/>
        </w:rPr>
        <w:instrText xml:space="preserve"> PAGEREF _Toc14558 </w:instrText>
      </w:r>
      <w:r>
        <w:rPr>
          <w:color w:val="auto"/>
        </w:rPr>
        <w:fldChar w:fldCharType="separate"/>
      </w:r>
      <w:r>
        <w:rPr>
          <w:color w:val="auto"/>
        </w:rPr>
        <w:t>49</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pStyle w:val="10"/>
        <w:tabs>
          <w:tab w:val="right" w:leader="dot" w:pos="8787"/>
        </w:tabs>
        <w:rPr>
          <w:color w:val="auto"/>
        </w:rPr>
      </w:pPr>
      <w:r>
        <w:rPr>
          <w:rFonts w:hint="default" w:ascii="仿宋_GB2312" w:hAnsi="仿宋_GB2312" w:eastAsia="仿宋_GB2312" w:cs="仿宋_GB2312"/>
          <w:bCs/>
          <w:caps w:val="0"/>
          <w:color w:val="auto"/>
          <w:kern w:val="2"/>
          <w:szCs w:val="20"/>
          <w:lang w:val="en-US" w:eastAsia="zh-CN" w:bidi="ar-SA"/>
        </w:rPr>
        <w:fldChar w:fldCharType="begin"/>
      </w:r>
      <w:r>
        <w:rPr>
          <w:rFonts w:hint="default" w:ascii="仿宋_GB2312" w:hAnsi="仿宋_GB2312" w:eastAsia="仿宋_GB2312" w:cs="仿宋_GB2312"/>
          <w:bCs/>
          <w:caps w:val="0"/>
          <w:color w:val="auto"/>
          <w:kern w:val="2"/>
          <w:szCs w:val="20"/>
          <w:lang w:val="en-US" w:eastAsia="zh-CN" w:bidi="ar-SA"/>
        </w:rPr>
        <w:instrText xml:space="preserve"> HYPERLINK \l _Toc27549 </w:instrText>
      </w:r>
      <w:r>
        <w:rPr>
          <w:rFonts w:hint="default" w:ascii="仿宋_GB2312" w:hAnsi="仿宋_GB2312" w:eastAsia="仿宋_GB2312" w:cs="仿宋_GB2312"/>
          <w:bCs/>
          <w:caps w:val="0"/>
          <w:color w:val="auto"/>
          <w:kern w:val="2"/>
          <w:szCs w:val="20"/>
          <w:lang w:val="en-US" w:eastAsia="zh-CN" w:bidi="ar-SA"/>
        </w:rPr>
        <w:fldChar w:fldCharType="separate"/>
      </w:r>
      <w:r>
        <w:rPr>
          <w:rFonts w:hint="default"/>
          <w:color w:val="auto"/>
        </w:rPr>
        <w:t>7.3存在问题及建议</w:t>
      </w:r>
      <w:r>
        <w:rPr>
          <w:color w:val="auto"/>
        </w:rPr>
        <w:tab/>
      </w:r>
      <w:r>
        <w:rPr>
          <w:color w:val="auto"/>
        </w:rPr>
        <w:fldChar w:fldCharType="begin"/>
      </w:r>
      <w:r>
        <w:rPr>
          <w:color w:val="auto"/>
        </w:rPr>
        <w:instrText xml:space="preserve"> PAGEREF _Toc27549 </w:instrText>
      </w:r>
      <w:r>
        <w:rPr>
          <w:color w:val="auto"/>
        </w:rPr>
        <w:fldChar w:fldCharType="separate"/>
      </w:r>
      <w:r>
        <w:rPr>
          <w:color w:val="auto"/>
        </w:rPr>
        <w:t>50</w:t>
      </w:r>
      <w:r>
        <w:rPr>
          <w:color w:val="auto"/>
        </w:rPr>
        <w:fldChar w:fldCharType="end"/>
      </w:r>
      <w:r>
        <w:rPr>
          <w:rFonts w:hint="default" w:ascii="仿宋_GB2312" w:hAnsi="仿宋_GB2312" w:eastAsia="仿宋_GB2312" w:cs="仿宋_GB2312"/>
          <w:bCs/>
          <w:caps w:val="0"/>
          <w:color w:val="auto"/>
          <w:kern w:val="2"/>
          <w:szCs w:val="20"/>
          <w:lang w:val="en-US" w:eastAsia="zh-CN" w:bidi="ar-SA"/>
        </w:rPr>
        <w:fldChar w:fldCharType="end"/>
      </w:r>
    </w:p>
    <w:p>
      <w:pPr>
        <w:keepNext w:val="0"/>
        <w:keepLines w:val="0"/>
        <w:pageBreakBefore w:val="0"/>
        <w:widowControl w:val="0"/>
        <w:kinsoku/>
        <w:wordWrap/>
        <w:overflowPunct/>
        <w:topLinePunct/>
        <w:autoSpaceDE/>
        <w:autoSpaceDN/>
        <w:bidi w:val="0"/>
        <w:adjustRightInd w:val="0"/>
        <w:snapToGrid w:val="0"/>
        <w:spacing w:before="0" w:beforeLines="0" w:after="0" w:afterLines="0" w:line="288" w:lineRule="auto"/>
        <w:ind w:right="0" w:rightChars="0" w:firstLine="0" w:firstLineChars="0"/>
        <w:jc w:val="both"/>
        <w:textAlignment w:val="auto"/>
        <w:outlineLvl w:val="9"/>
        <w:rPr>
          <w:rFonts w:hint="default" w:ascii="Times New Roman" w:hAnsi="Times New Roman" w:eastAsia="宋体" w:cs="Times New Roman"/>
          <w:bCs/>
          <w:caps/>
          <w:color w:val="auto"/>
          <w:kern w:val="2"/>
          <w:szCs w:val="20"/>
          <w:lang w:val="en-US" w:eastAsia="zh-CN" w:bidi="ar-SA"/>
        </w:rPr>
      </w:pPr>
      <w:r>
        <w:rPr>
          <w:rFonts w:hint="default" w:ascii="仿宋_GB2312" w:hAnsi="仿宋_GB2312" w:eastAsia="仿宋_GB2312" w:cs="仿宋_GB2312"/>
          <w:bCs/>
          <w:caps w:val="0"/>
          <w:color w:val="auto"/>
          <w:kern w:val="2"/>
          <w:szCs w:val="20"/>
          <w:lang w:val="en-US" w:eastAsia="zh-CN" w:bidi="ar-SA"/>
        </w:rPr>
        <w:fldChar w:fldCharType="end"/>
      </w:r>
    </w:p>
    <w:p>
      <w:pPr>
        <w:keepNext w:val="0"/>
        <w:keepLines w:val="0"/>
        <w:pageBreakBefore w:val="0"/>
        <w:widowControl w:val="0"/>
        <w:kinsoku/>
        <w:wordWrap/>
        <w:overflowPunct/>
        <w:topLinePunct/>
        <w:autoSpaceDE/>
        <w:autoSpaceDN/>
        <w:bidi w:val="0"/>
        <w:adjustRightInd w:val="0"/>
        <w:snapToGrid w:val="0"/>
        <w:spacing w:before="0" w:beforeLines="0" w:after="0" w:afterLines="0" w:line="288" w:lineRule="auto"/>
        <w:ind w:right="0" w:rightChars="0" w:firstLine="0" w:firstLineChars="0"/>
        <w:jc w:val="both"/>
        <w:textAlignment w:val="auto"/>
        <w:outlineLvl w:val="9"/>
        <w:rPr>
          <w:rFonts w:hint="eastAsia" w:ascii="仿宋_GB2312" w:hAnsi="仿宋_GB2312" w:eastAsia="仿宋_GB2312" w:cs="仿宋_GB2312"/>
          <w:b/>
          <w:color w:val="auto"/>
          <w:sz w:val="24"/>
          <w:szCs w:val="24"/>
        </w:rPr>
        <w:sectPr>
          <w:footerReference r:id="rId3" w:type="default"/>
          <w:pgSz w:w="11906" w:h="16838"/>
          <w:pgMar w:top="851" w:right="1418" w:bottom="851" w:left="1701" w:header="851" w:footer="992" w:gutter="0"/>
          <w:pgBorders>
            <w:top w:val="none" w:sz="0" w:space="0"/>
            <w:left w:val="none" w:sz="0" w:space="0"/>
            <w:bottom w:val="none" w:sz="0" w:space="0"/>
            <w:right w:val="none" w:sz="0" w:space="0"/>
          </w:pgBorders>
          <w:pgNumType w:fmt="decimal" w:start="1"/>
          <w:cols w:space="720" w:num="1"/>
          <w:docGrid w:linePitch="326" w:charSpace="0"/>
        </w:sectPr>
      </w:pPr>
    </w:p>
    <w:p>
      <w:pPr>
        <w:keepNext w:val="0"/>
        <w:keepLines w:val="0"/>
        <w:pageBreakBefore w:val="0"/>
        <w:widowControl w:val="0"/>
        <w:kinsoku/>
        <w:wordWrap/>
        <w:overflowPunct/>
        <w:topLinePunct/>
        <w:autoSpaceDE/>
        <w:autoSpaceDN/>
        <w:bidi w:val="0"/>
        <w:adjustRightInd w:val="0"/>
        <w:snapToGrid w:val="0"/>
        <w:spacing w:before="0" w:beforeLines="0" w:after="0" w:afterLines="0" w:line="288" w:lineRule="auto"/>
        <w:ind w:right="0" w:rightChars="0" w:firstLine="0" w:firstLineChars="0"/>
        <w:jc w:val="both"/>
        <w:textAlignment w:val="auto"/>
        <w:outlineLvl w:val="9"/>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附图：</w:t>
      </w:r>
    </w:p>
    <w:p>
      <w:pPr>
        <w:autoSpaceDE w:val="0"/>
        <w:autoSpaceDN w:val="0"/>
        <w:snapToGrid w:val="0"/>
        <w:spacing w:line="360" w:lineRule="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t>1、地理位置示意图；</w:t>
      </w:r>
    </w:p>
    <w:p>
      <w:pPr>
        <w:snapToGrid w:val="0"/>
        <w:spacing w:line="360" w:lineRule="auto"/>
        <w:rPr>
          <w:rFonts w:hint="eastAsia" w:eastAsia="仿宋_GB2312" w:cs="Times New Roman"/>
          <w:color w:val="auto"/>
          <w:lang w:val="en-US" w:eastAsia="zh-CN"/>
        </w:rPr>
      </w:pPr>
      <w:r>
        <w:rPr>
          <w:rFonts w:hint="eastAsia" w:cs="Times New Roman"/>
          <w:color w:val="auto"/>
          <w:lang w:val="en-US" w:eastAsia="zh-CN"/>
        </w:rPr>
        <w:t>2、项目建设区总平面布置图；</w:t>
      </w:r>
    </w:p>
    <w:p>
      <w:pPr>
        <w:snapToGrid w:val="0"/>
        <w:spacing w:line="360" w:lineRule="auto"/>
        <w:rPr>
          <w:rFonts w:hint="default" w:ascii="Times New Roman" w:hAnsi="Times New Roman" w:eastAsia="仿宋_GB2312" w:cs="Times New Roman"/>
          <w:color w:val="auto"/>
        </w:rPr>
      </w:pPr>
      <w:r>
        <w:rPr>
          <w:rFonts w:hint="eastAsia" w:cs="Times New Roman"/>
          <w:color w:val="auto"/>
          <w:lang w:val="en-US" w:eastAsia="zh-CN"/>
        </w:rPr>
        <w:t>3</w:t>
      </w:r>
      <w:r>
        <w:rPr>
          <w:rFonts w:hint="default" w:ascii="Times New Roman" w:hAnsi="Times New Roman" w:eastAsia="仿宋_GB2312" w:cs="Times New Roman"/>
          <w:color w:val="auto"/>
        </w:rPr>
        <w:t>、水土保持监测点布置图；</w:t>
      </w:r>
    </w:p>
    <w:p>
      <w:pPr>
        <w:snapToGrid w:val="0"/>
        <w:spacing w:line="360" w:lineRule="auto"/>
        <w:rPr>
          <w:rFonts w:hint="default" w:ascii="Times New Roman" w:hAnsi="Times New Roman" w:eastAsia="仿宋_GB2312" w:cs="Times New Roman"/>
          <w:color w:val="auto"/>
        </w:rPr>
      </w:pPr>
      <w:r>
        <w:rPr>
          <w:rFonts w:hint="eastAsia" w:cs="Times New Roman"/>
          <w:color w:val="auto"/>
          <w:lang w:val="en-US" w:eastAsia="zh-CN"/>
        </w:rPr>
        <w:t>4</w:t>
      </w:r>
      <w:r>
        <w:rPr>
          <w:rFonts w:hint="default" w:ascii="Times New Roman" w:hAnsi="Times New Roman" w:eastAsia="仿宋_GB2312" w:cs="Times New Roman"/>
          <w:color w:val="auto"/>
        </w:rPr>
        <w:t>、扰动地表分布图；</w:t>
      </w:r>
    </w:p>
    <w:p>
      <w:pPr>
        <w:snapToGrid w:val="0"/>
        <w:spacing w:line="360" w:lineRule="auto"/>
        <w:rPr>
          <w:rFonts w:hint="default" w:ascii="Times New Roman" w:hAnsi="Times New Roman" w:eastAsia="仿宋_GB2312" w:cs="Times New Roman"/>
          <w:color w:val="auto"/>
        </w:rPr>
      </w:pPr>
      <w:r>
        <w:rPr>
          <w:rFonts w:hint="eastAsia" w:cs="Times New Roman"/>
          <w:color w:val="auto"/>
          <w:lang w:val="en-US" w:eastAsia="zh-CN"/>
        </w:rPr>
        <w:t>5</w:t>
      </w:r>
      <w:r>
        <w:rPr>
          <w:rFonts w:hint="default" w:ascii="Times New Roman" w:hAnsi="Times New Roman" w:eastAsia="仿宋_GB2312" w:cs="Times New Roman"/>
          <w:color w:val="auto"/>
        </w:rPr>
        <w:t>、土壤侵蚀强度分布图；</w:t>
      </w:r>
    </w:p>
    <w:p>
      <w:pPr>
        <w:snapToGrid w:val="0"/>
        <w:spacing w:line="360" w:lineRule="auto"/>
        <w:rPr>
          <w:rFonts w:hint="eastAsia" w:ascii="Times New Roman" w:hAnsi="Times New Roman" w:eastAsia="宋体" w:cs="Times New Roman"/>
          <w:color w:val="auto"/>
          <w:lang w:val="en-US" w:eastAsia="zh-CN"/>
        </w:rPr>
      </w:pPr>
    </w:p>
    <w:p>
      <w:pPr>
        <w:spacing w:line="360" w:lineRule="auto"/>
        <w:ind w:left="0" w:leftChars="0" w:firstLine="0" w:firstLineChars="0"/>
        <w:rPr>
          <w:rFonts w:hint="default" w:ascii="Times New Roman" w:hAnsi="Times New Roman" w:eastAsia="宋体" w:cs="Times New Roman"/>
          <w:color w:val="auto"/>
        </w:rPr>
        <w:sectPr>
          <w:footerReference r:id="rId4" w:type="default"/>
          <w:type w:val="continuous"/>
          <w:pgSz w:w="11906" w:h="16838"/>
          <w:pgMar w:top="851" w:right="1418" w:bottom="851" w:left="1701" w:header="851" w:footer="992" w:gutter="0"/>
          <w:pgBorders>
            <w:top w:val="none" w:sz="0" w:space="0"/>
            <w:left w:val="none" w:sz="0" w:space="0"/>
            <w:bottom w:val="none" w:sz="0" w:space="0"/>
            <w:right w:val="none" w:sz="0" w:space="0"/>
          </w:pgBorders>
          <w:pgNumType w:fmt="decimal"/>
          <w:cols w:space="720" w:num="1"/>
          <w:docGrid w:linePitch="326" w:charSpace="0"/>
        </w:sectPr>
      </w:pPr>
    </w:p>
    <w:tbl>
      <w:tblPr>
        <w:tblStyle w:val="11"/>
        <w:tblW w:w="8421"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68" w:type="dxa"/>
          <w:bottom w:w="0" w:type="dxa"/>
          <w:right w:w="68" w:type="dxa"/>
        </w:tblCellMar>
      </w:tblPr>
      <w:tblGrid>
        <w:gridCol w:w="460"/>
        <w:gridCol w:w="460"/>
        <w:gridCol w:w="896"/>
        <w:gridCol w:w="896"/>
        <w:gridCol w:w="896"/>
        <w:gridCol w:w="169"/>
        <w:gridCol w:w="377"/>
        <w:gridCol w:w="246"/>
        <w:gridCol w:w="641"/>
        <w:gridCol w:w="117"/>
        <w:gridCol w:w="833"/>
        <w:gridCol w:w="638"/>
        <w:gridCol w:w="441"/>
        <w:gridCol w:w="386"/>
        <w:gridCol w:w="965"/>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429" w:hRule="atLeast"/>
          <w:jc w:val="center"/>
        </w:trPr>
        <w:tc>
          <w:tcPr>
            <w:tcW w:w="8421" w:type="dxa"/>
            <w:gridSpan w:val="15"/>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eastAsia"/>
                <w:color w:val="auto"/>
                <w:sz w:val="18"/>
                <w:szCs w:val="18"/>
                <w:lang w:val="en-US" w:eastAsia="zh-CN"/>
              </w:rPr>
              <w:t>生产</w:t>
            </w:r>
            <w:r>
              <w:rPr>
                <w:rFonts w:hint="default"/>
                <w:color w:val="auto"/>
                <w:sz w:val="18"/>
                <w:szCs w:val="18"/>
                <w:lang w:eastAsia="zh-CN"/>
              </w:rPr>
              <w:t>建设项目水土保持监测特性表                 填表时间：20</w:t>
            </w:r>
            <w:r>
              <w:rPr>
                <w:rFonts w:hint="eastAsia"/>
                <w:color w:val="auto"/>
                <w:sz w:val="18"/>
                <w:szCs w:val="18"/>
                <w:lang w:val="en-US" w:eastAsia="zh-CN"/>
              </w:rPr>
              <w:t>20</w:t>
            </w:r>
            <w:r>
              <w:rPr>
                <w:rFonts w:hint="default"/>
                <w:color w:val="auto"/>
                <w:sz w:val="18"/>
                <w:szCs w:val="18"/>
                <w:lang w:eastAsia="zh-CN"/>
              </w:rPr>
              <w:t>年</w:t>
            </w:r>
            <w:r>
              <w:rPr>
                <w:rFonts w:hint="eastAsia"/>
                <w:color w:val="auto"/>
                <w:sz w:val="18"/>
                <w:szCs w:val="18"/>
                <w:lang w:val="en-US" w:eastAsia="zh-CN"/>
              </w:rPr>
              <w:t>10</w:t>
            </w:r>
            <w:r>
              <w:rPr>
                <w:rFonts w:hint="default"/>
                <w:color w:val="auto"/>
                <w:sz w:val="18"/>
                <w:szCs w:val="18"/>
                <w:lang w:eastAsia="zh-CN"/>
              </w:rPr>
              <w:t>月</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340" w:hRule="atLeast"/>
          <w:jc w:val="center"/>
        </w:trPr>
        <w:tc>
          <w:tcPr>
            <w:tcW w:w="8421" w:type="dxa"/>
            <w:gridSpan w:val="15"/>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主体工程主要技术指标</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340" w:hRule="atLeast"/>
          <w:jc w:val="center"/>
        </w:trPr>
        <w:tc>
          <w:tcPr>
            <w:tcW w:w="1816" w:type="dxa"/>
            <w:gridSpan w:val="3"/>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项目名称</w:t>
            </w:r>
          </w:p>
        </w:tc>
        <w:tc>
          <w:tcPr>
            <w:tcW w:w="6605" w:type="dxa"/>
            <w:gridSpan w:val="12"/>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eastAsia"/>
                <w:color w:val="auto"/>
                <w:sz w:val="18"/>
                <w:szCs w:val="18"/>
                <w:lang w:eastAsia="zh-CN"/>
              </w:rPr>
              <w:t>G320线普安江西坡至三板桥段改扩建工程</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90" w:hRule="atLeast"/>
          <w:jc w:val="center"/>
        </w:trPr>
        <w:tc>
          <w:tcPr>
            <w:tcW w:w="920" w:type="dxa"/>
            <w:gridSpan w:val="2"/>
            <w:vMerge w:val="restart"/>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建设规模</w:t>
            </w:r>
          </w:p>
        </w:tc>
        <w:tc>
          <w:tcPr>
            <w:tcW w:w="2857" w:type="dxa"/>
            <w:gridSpan w:val="4"/>
            <w:vMerge w:val="restart"/>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道路全长39.302km，全线按二级公路标准进行改造，设计速度40km/h</w:t>
            </w:r>
          </w:p>
        </w:tc>
        <w:tc>
          <w:tcPr>
            <w:tcW w:w="1381" w:type="dxa"/>
            <w:gridSpan w:val="4"/>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建设单位</w:t>
            </w:r>
          </w:p>
        </w:tc>
        <w:tc>
          <w:tcPr>
            <w:tcW w:w="3263" w:type="dxa"/>
            <w:gridSpan w:val="5"/>
            <w:tcBorders>
              <w:tl2br w:val="nil"/>
              <w:tr2bl w:val="nil"/>
            </w:tcBorders>
            <w:tcMar>
              <w:top w:w="0" w:type="dxa"/>
              <w:left w:w="57" w:type="dxa"/>
              <w:bottom w:w="0" w:type="dxa"/>
              <w:right w:w="57" w:type="dxa"/>
            </w:tcMar>
            <w:vAlign w:val="center"/>
          </w:tcPr>
          <w:p>
            <w:pPr>
              <w:pStyle w:val="16"/>
              <w:rPr>
                <w:rFonts w:hint="eastAsia"/>
                <w:color w:val="auto"/>
                <w:sz w:val="18"/>
                <w:szCs w:val="18"/>
                <w:lang w:eastAsia="zh-CN"/>
              </w:rPr>
            </w:pPr>
            <w:r>
              <w:rPr>
                <w:rFonts w:hint="eastAsia"/>
                <w:color w:val="auto"/>
                <w:sz w:val="18"/>
                <w:szCs w:val="18"/>
                <w:lang w:eastAsia="zh-CN"/>
              </w:rPr>
              <w:t>普安县交通运输局</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90" w:hRule="atLeast"/>
          <w:jc w:val="center"/>
        </w:trPr>
        <w:tc>
          <w:tcPr>
            <w:tcW w:w="920" w:type="dxa"/>
            <w:gridSpan w:val="2"/>
            <w:vMerge w:val="continue"/>
            <w:tcBorders>
              <w:tl2br w:val="nil"/>
              <w:tr2bl w:val="nil"/>
            </w:tcBorders>
            <w:vAlign w:val="center"/>
          </w:tcPr>
          <w:p>
            <w:pPr>
              <w:pStyle w:val="16"/>
              <w:rPr>
                <w:rFonts w:hint="default"/>
                <w:color w:val="auto"/>
                <w:sz w:val="18"/>
                <w:szCs w:val="18"/>
                <w:lang w:eastAsia="zh-CN"/>
              </w:rPr>
            </w:pPr>
          </w:p>
        </w:tc>
        <w:tc>
          <w:tcPr>
            <w:tcW w:w="2857" w:type="dxa"/>
            <w:gridSpan w:val="4"/>
            <w:vMerge w:val="continue"/>
            <w:tcBorders>
              <w:tl2br w:val="nil"/>
              <w:tr2bl w:val="nil"/>
            </w:tcBorders>
            <w:vAlign w:val="center"/>
          </w:tcPr>
          <w:p>
            <w:pPr>
              <w:pStyle w:val="16"/>
              <w:rPr>
                <w:rFonts w:hint="default"/>
                <w:color w:val="auto"/>
                <w:sz w:val="18"/>
                <w:szCs w:val="18"/>
                <w:lang w:eastAsia="zh-CN"/>
              </w:rPr>
            </w:pPr>
          </w:p>
        </w:tc>
        <w:tc>
          <w:tcPr>
            <w:tcW w:w="1381" w:type="dxa"/>
            <w:gridSpan w:val="4"/>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联系人/电话</w:t>
            </w:r>
          </w:p>
        </w:tc>
        <w:tc>
          <w:tcPr>
            <w:tcW w:w="3263" w:type="dxa"/>
            <w:gridSpan w:val="5"/>
            <w:tcBorders>
              <w:tl2br w:val="nil"/>
              <w:tr2bl w:val="nil"/>
            </w:tcBorders>
            <w:tcMar>
              <w:top w:w="0" w:type="dxa"/>
              <w:left w:w="57" w:type="dxa"/>
              <w:bottom w:w="0" w:type="dxa"/>
              <w:right w:w="57" w:type="dxa"/>
            </w:tcMar>
            <w:vAlign w:val="center"/>
          </w:tcPr>
          <w:p>
            <w:pPr>
              <w:pStyle w:val="16"/>
              <w:rPr>
                <w:rFonts w:hint="eastAsia" w:eastAsia="仿宋_GB2312"/>
                <w:color w:val="auto"/>
                <w:sz w:val="18"/>
                <w:szCs w:val="18"/>
                <w:lang w:val="en-US" w:eastAsia="zh-CN"/>
              </w:rPr>
            </w:pPr>
            <w:r>
              <w:rPr>
                <w:rFonts w:hint="eastAsia"/>
                <w:color w:val="auto"/>
                <w:sz w:val="18"/>
                <w:szCs w:val="18"/>
                <w:lang w:val="en-US" w:eastAsia="zh-CN"/>
              </w:rPr>
              <w:t>戴卫荣/15519904322</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90" w:hRule="atLeast"/>
          <w:jc w:val="center"/>
        </w:trPr>
        <w:tc>
          <w:tcPr>
            <w:tcW w:w="920" w:type="dxa"/>
            <w:gridSpan w:val="2"/>
            <w:vMerge w:val="continue"/>
            <w:tcBorders>
              <w:tl2br w:val="nil"/>
              <w:tr2bl w:val="nil"/>
            </w:tcBorders>
            <w:vAlign w:val="center"/>
          </w:tcPr>
          <w:p>
            <w:pPr>
              <w:pStyle w:val="16"/>
              <w:rPr>
                <w:rFonts w:hint="default"/>
                <w:color w:val="auto"/>
                <w:sz w:val="18"/>
                <w:szCs w:val="18"/>
                <w:lang w:eastAsia="zh-CN"/>
              </w:rPr>
            </w:pPr>
          </w:p>
        </w:tc>
        <w:tc>
          <w:tcPr>
            <w:tcW w:w="2857" w:type="dxa"/>
            <w:gridSpan w:val="4"/>
            <w:vMerge w:val="continue"/>
            <w:tcBorders>
              <w:tl2br w:val="nil"/>
              <w:tr2bl w:val="nil"/>
            </w:tcBorders>
            <w:vAlign w:val="center"/>
          </w:tcPr>
          <w:p>
            <w:pPr>
              <w:pStyle w:val="16"/>
              <w:rPr>
                <w:rFonts w:hint="default"/>
                <w:color w:val="auto"/>
                <w:sz w:val="18"/>
                <w:szCs w:val="18"/>
                <w:lang w:eastAsia="zh-CN"/>
              </w:rPr>
            </w:pPr>
          </w:p>
        </w:tc>
        <w:tc>
          <w:tcPr>
            <w:tcW w:w="1381" w:type="dxa"/>
            <w:gridSpan w:val="4"/>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建设地点</w:t>
            </w:r>
          </w:p>
        </w:tc>
        <w:tc>
          <w:tcPr>
            <w:tcW w:w="3263" w:type="dxa"/>
            <w:gridSpan w:val="5"/>
            <w:tcBorders>
              <w:tl2br w:val="nil"/>
              <w:tr2bl w:val="nil"/>
            </w:tcBorders>
            <w:tcMar>
              <w:top w:w="0" w:type="dxa"/>
              <w:left w:w="57" w:type="dxa"/>
              <w:bottom w:w="0" w:type="dxa"/>
              <w:right w:w="57" w:type="dxa"/>
            </w:tcMar>
            <w:vAlign w:val="center"/>
          </w:tcPr>
          <w:p>
            <w:pPr>
              <w:pStyle w:val="16"/>
              <w:rPr>
                <w:rFonts w:hint="eastAsia"/>
                <w:color w:val="auto"/>
                <w:sz w:val="18"/>
                <w:szCs w:val="18"/>
                <w:lang w:eastAsia="zh-CN"/>
              </w:rPr>
            </w:pPr>
            <w:r>
              <w:rPr>
                <w:rFonts w:hint="eastAsia"/>
                <w:color w:val="auto"/>
                <w:sz w:val="18"/>
                <w:szCs w:val="18"/>
                <w:lang w:val="en-US" w:eastAsia="zh-CN"/>
              </w:rPr>
              <w:t>普安县</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90" w:hRule="atLeast"/>
          <w:jc w:val="center"/>
        </w:trPr>
        <w:tc>
          <w:tcPr>
            <w:tcW w:w="920" w:type="dxa"/>
            <w:gridSpan w:val="2"/>
            <w:vMerge w:val="continue"/>
            <w:tcBorders>
              <w:tl2br w:val="nil"/>
              <w:tr2bl w:val="nil"/>
            </w:tcBorders>
            <w:vAlign w:val="center"/>
          </w:tcPr>
          <w:p>
            <w:pPr>
              <w:pStyle w:val="16"/>
              <w:rPr>
                <w:rFonts w:hint="default"/>
                <w:color w:val="auto"/>
                <w:sz w:val="18"/>
                <w:szCs w:val="18"/>
                <w:lang w:eastAsia="zh-CN"/>
              </w:rPr>
            </w:pPr>
          </w:p>
        </w:tc>
        <w:tc>
          <w:tcPr>
            <w:tcW w:w="2857" w:type="dxa"/>
            <w:gridSpan w:val="4"/>
            <w:vMerge w:val="continue"/>
            <w:tcBorders>
              <w:tl2br w:val="nil"/>
              <w:tr2bl w:val="nil"/>
            </w:tcBorders>
            <w:vAlign w:val="center"/>
          </w:tcPr>
          <w:p>
            <w:pPr>
              <w:pStyle w:val="16"/>
              <w:rPr>
                <w:rFonts w:hint="default"/>
                <w:color w:val="auto"/>
                <w:sz w:val="18"/>
                <w:szCs w:val="18"/>
                <w:lang w:eastAsia="zh-CN"/>
              </w:rPr>
            </w:pPr>
          </w:p>
        </w:tc>
        <w:tc>
          <w:tcPr>
            <w:tcW w:w="1381" w:type="dxa"/>
            <w:gridSpan w:val="4"/>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所在流域</w:t>
            </w:r>
          </w:p>
        </w:tc>
        <w:tc>
          <w:tcPr>
            <w:tcW w:w="3263" w:type="dxa"/>
            <w:gridSpan w:val="5"/>
            <w:tcBorders>
              <w:tl2br w:val="nil"/>
              <w:tr2bl w:val="nil"/>
            </w:tcBorders>
            <w:tcMar>
              <w:top w:w="0" w:type="dxa"/>
              <w:left w:w="57" w:type="dxa"/>
              <w:bottom w:w="0" w:type="dxa"/>
              <w:right w:w="57" w:type="dxa"/>
            </w:tcMar>
            <w:vAlign w:val="center"/>
          </w:tcPr>
          <w:p>
            <w:pPr>
              <w:pStyle w:val="16"/>
              <w:rPr>
                <w:rFonts w:hint="eastAsia"/>
                <w:color w:val="auto"/>
                <w:sz w:val="18"/>
                <w:szCs w:val="18"/>
                <w:lang w:eastAsia="zh-CN"/>
              </w:rPr>
            </w:pPr>
            <w:r>
              <w:rPr>
                <w:rFonts w:hint="eastAsia"/>
                <w:color w:val="auto"/>
                <w:sz w:val="18"/>
                <w:szCs w:val="18"/>
                <w:lang w:eastAsia="zh-CN"/>
              </w:rPr>
              <w:t>珠江流域北盘江水系</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90" w:hRule="atLeast"/>
          <w:jc w:val="center"/>
        </w:trPr>
        <w:tc>
          <w:tcPr>
            <w:tcW w:w="920" w:type="dxa"/>
            <w:gridSpan w:val="2"/>
            <w:vMerge w:val="continue"/>
            <w:tcBorders>
              <w:tl2br w:val="nil"/>
              <w:tr2bl w:val="nil"/>
            </w:tcBorders>
            <w:vAlign w:val="center"/>
          </w:tcPr>
          <w:p>
            <w:pPr>
              <w:pStyle w:val="16"/>
              <w:rPr>
                <w:rFonts w:hint="default"/>
                <w:color w:val="auto"/>
                <w:sz w:val="18"/>
                <w:szCs w:val="18"/>
                <w:lang w:eastAsia="zh-CN"/>
              </w:rPr>
            </w:pPr>
          </w:p>
        </w:tc>
        <w:tc>
          <w:tcPr>
            <w:tcW w:w="2857" w:type="dxa"/>
            <w:gridSpan w:val="4"/>
            <w:vMerge w:val="continue"/>
            <w:tcBorders>
              <w:tl2br w:val="nil"/>
              <w:tr2bl w:val="nil"/>
            </w:tcBorders>
            <w:vAlign w:val="center"/>
          </w:tcPr>
          <w:p>
            <w:pPr>
              <w:pStyle w:val="16"/>
              <w:rPr>
                <w:rFonts w:hint="default"/>
                <w:color w:val="auto"/>
                <w:sz w:val="18"/>
                <w:szCs w:val="18"/>
                <w:lang w:eastAsia="zh-CN"/>
              </w:rPr>
            </w:pPr>
          </w:p>
        </w:tc>
        <w:tc>
          <w:tcPr>
            <w:tcW w:w="1381" w:type="dxa"/>
            <w:gridSpan w:val="4"/>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工程总投资</w:t>
            </w:r>
          </w:p>
        </w:tc>
        <w:tc>
          <w:tcPr>
            <w:tcW w:w="3263" w:type="dxa"/>
            <w:gridSpan w:val="5"/>
            <w:tcBorders>
              <w:tl2br w:val="nil"/>
              <w:tr2bl w:val="nil"/>
            </w:tcBorders>
            <w:tcMar>
              <w:top w:w="0" w:type="dxa"/>
              <w:left w:w="57" w:type="dxa"/>
              <w:bottom w:w="0" w:type="dxa"/>
              <w:right w:w="57" w:type="dxa"/>
            </w:tcMar>
            <w:vAlign w:val="center"/>
          </w:tcPr>
          <w:p>
            <w:pPr>
              <w:pStyle w:val="16"/>
              <w:rPr>
                <w:rFonts w:hint="eastAsia"/>
                <w:color w:val="auto"/>
                <w:sz w:val="18"/>
                <w:szCs w:val="18"/>
                <w:lang w:val="en-US" w:eastAsia="zh-CN"/>
              </w:rPr>
            </w:pPr>
            <w:r>
              <w:rPr>
                <w:rFonts w:hint="eastAsia"/>
                <w:color w:val="auto"/>
                <w:sz w:val="18"/>
                <w:szCs w:val="18"/>
                <w:lang w:val="en-US" w:eastAsia="zh-CN"/>
              </w:rPr>
              <w:t>23334.21万元</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90" w:hRule="atLeast"/>
          <w:jc w:val="center"/>
        </w:trPr>
        <w:tc>
          <w:tcPr>
            <w:tcW w:w="920" w:type="dxa"/>
            <w:gridSpan w:val="2"/>
            <w:vMerge w:val="continue"/>
            <w:tcBorders>
              <w:tl2br w:val="nil"/>
              <w:tr2bl w:val="nil"/>
            </w:tcBorders>
            <w:vAlign w:val="center"/>
          </w:tcPr>
          <w:p>
            <w:pPr>
              <w:pStyle w:val="16"/>
              <w:rPr>
                <w:rFonts w:hint="default"/>
                <w:color w:val="auto"/>
                <w:sz w:val="18"/>
                <w:szCs w:val="18"/>
                <w:lang w:eastAsia="zh-CN"/>
              </w:rPr>
            </w:pPr>
          </w:p>
        </w:tc>
        <w:tc>
          <w:tcPr>
            <w:tcW w:w="2857" w:type="dxa"/>
            <w:gridSpan w:val="4"/>
            <w:vMerge w:val="continue"/>
            <w:tcBorders>
              <w:tl2br w:val="nil"/>
              <w:tr2bl w:val="nil"/>
            </w:tcBorders>
            <w:vAlign w:val="center"/>
          </w:tcPr>
          <w:p>
            <w:pPr>
              <w:pStyle w:val="16"/>
              <w:rPr>
                <w:rFonts w:hint="default"/>
                <w:color w:val="auto"/>
                <w:sz w:val="18"/>
                <w:szCs w:val="18"/>
                <w:lang w:eastAsia="zh-CN"/>
              </w:rPr>
            </w:pPr>
          </w:p>
        </w:tc>
        <w:tc>
          <w:tcPr>
            <w:tcW w:w="1381" w:type="dxa"/>
            <w:gridSpan w:val="4"/>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工程总工期</w:t>
            </w:r>
          </w:p>
        </w:tc>
        <w:tc>
          <w:tcPr>
            <w:tcW w:w="3263" w:type="dxa"/>
            <w:gridSpan w:val="5"/>
            <w:tcBorders>
              <w:tl2br w:val="nil"/>
              <w:tr2bl w:val="nil"/>
            </w:tcBorders>
            <w:tcMar>
              <w:top w:w="0" w:type="dxa"/>
              <w:left w:w="57" w:type="dxa"/>
              <w:bottom w:w="0" w:type="dxa"/>
              <w:right w:w="57" w:type="dxa"/>
            </w:tcMar>
            <w:vAlign w:val="center"/>
          </w:tcPr>
          <w:p>
            <w:pPr>
              <w:pStyle w:val="16"/>
              <w:rPr>
                <w:rFonts w:hint="eastAsia"/>
                <w:color w:val="auto"/>
                <w:sz w:val="18"/>
                <w:szCs w:val="18"/>
                <w:lang w:val="en-US" w:eastAsia="zh-CN"/>
              </w:rPr>
            </w:pPr>
            <w:r>
              <w:rPr>
                <w:rFonts w:hint="eastAsia"/>
                <w:color w:val="auto"/>
                <w:sz w:val="18"/>
                <w:szCs w:val="18"/>
                <w:lang w:val="en-US" w:eastAsia="zh-CN"/>
              </w:rPr>
              <w:t>2015年3月-2020年10月</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340" w:hRule="atLeast"/>
          <w:jc w:val="center"/>
        </w:trPr>
        <w:tc>
          <w:tcPr>
            <w:tcW w:w="8421" w:type="dxa"/>
            <w:gridSpan w:val="15"/>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水土保持监测指标</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173" w:hRule="atLeast"/>
          <w:jc w:val="center"/>
        </w:trPr>
        <w:tc>
          <w:tcPr>
            <w:tcW w:w="2712" w:type="dxa"/>
            <w:gridSpan w:val="4"/>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监测单位</w:t>
            </w:r>
          </w:p>
        </w:tc>
        <w:tc>
          <w:tcPr>
            <w:tcW w:w="2446" w:type="dxa"/>
            <w:gridSpan w:val="6"/>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eastAsia"/>
                <w:color w:val="auto"/>
                <w:sz w:val="18"/>
                <w:szCs w:val="18"/>
                <w:lang w:eastAsia="zh-CN"/>
              </w:rPr>
              <w:t>贵州天保生态股份有限公司</w:t>
            </w:r>
          </w:p>
        </w:tc>
        <w:tc>
          <w:tcPr>
            <w:tcW w:w="1471" w:type="dxa"/>
            <w:gridSpan w:val="2"/>
            <w:tcBorders>
              <w:tl2br w:val="nil"/>
              <w:tr2bl w:val="nil"/>
            </w:tcBorders>
            <w:tcMar>
              <w:top w:w="0" w:type="dxa"/>
              <w:left w:w="57" w:type="dxa"/>
              <w:bottom w:w="0" w:type="dxa"/>
              <w:right w:w="57" w:type="dxa"/>
            </w:tcMar>
            <w:vAlign w:val="center"/>
          </w:tcPr>
          <w:p>
            <w:pPr>
              <w:pStyle w:val="16"/>
              <w:rPr>
                <w:rFonts w:hint="default"/>
                <w:color w:val="auto"/>
                <w:sz w:val="18"/>
                <w:szCs w:val="18"/>
                <w:lang w:val="en-US" w:eastAsia="zh-CN"/>
              </w:rPr>
            </w:pPr>
            <w:r>
              <w:rPr>
                <w:rFonts w:hint="default"/>
                <w:color w:val="auto"/>
                <w:sz w:val="18"/>
                <w:szCs w:val="18"/>
                <w:lang w:val="en-US" w:eastAsia="zh-CN"/>
              </w:rPr>
              <w:t>联系人及电话</w:t>
            </w:r>
          </w:p>
        </w:tc>
        <w:tc>
          <w:tcPr>
            <w:tcW w:w="1792" w:type="dxa"/>
            <w:gridSpan w:val="3"/>
            <w:tcBorders>
              <w:tl2br w:val="nil"/>
              <w:tr2bl w:val="nil"/>
            </w:tcBorders>
            <w:tcMar>
              <w:top w:w="0" w:type="dxa"/>
              <w:left w:w="57" w:type="dxa"/>
              <w:bottom w:w="0" w:type="dxa"/>
              <w:right w:w="57" w:type="dxa"/>
            </w:tcMar>
            <w:vAlign w:val="center"/>
          </w:tcPr>
          <w:p>
            <w:pPr>
              <w:pStyle w:val="16"/>
              <w:rPr>
                <w:rFonts w:hint="default"/>
                <w:color w:val="auto"/>
                <w:sz w:val="18"/>
                <w:szCs w:val="18"/>
                <w:lang w:val="en-US" w:eastAsia="zh-CN"/>
              </w:rPr>
            </w:pPr>
            <w:r>
              <w:rPr>
                <w:rFonts w:hint="eastAsia"/>
                <w:color w:val="auto"/>
                <w:sz w:val="18"/>
                <w:szCs w:val="18"/>
                <w:lang w:val="en-US" w:eastAsia="zh-CN"/>
              </w:rPr>
              <w:t>朱波/13765124637</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244" w:hRule="atLeast"/>
          <w:jc w:val="center"/>
        </w:trPr>
        <w:tc>
          <w:tcPr>
            <w:tcW w:w="2712" w:type="dxa"/>
            <w:gridSpan w:val="4"/>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自然地理类型</w:t>
            </w:r>
          </w:p>
        </w:tc>
        <w:tc>
          <w:tcPr>
            <w:tcW w:w="2446" w:type="dxa"/>
            <w:gridSpan w:val="6"/>
            <w:tcBorders>
              <w:tl2br w:val="nil"/>
              <w:tr2bl w:val="nil"/>
            </w:tcBorders>
            <w:tcMar>
              <w:top w:w="0" w:type="dxa"/>
              <w:left w:w="57" w:type="dxa"/>
              <w:bottom w:w="0" w:type="dxa"/>
              <w:right w:w="57" w:type="dxa"/>
            </w:tcMar>
            <w:vAlign w:val="center"/>
          </w:tcPr>
          <w:p>
            <w:pPr>
              <w:pStyle w:val="16"/>
              <w:rPr>
                <w:rFonts w:hint="eastAsia"/>
                <w:color w:val="auto"/>
                <w:sz w:val="18"/>
                <w:szCs w:val="18"/>
                <w:lang w:eastAsia="zh-CN"/>
              </w:rPr>
            </w:pPr>
            <w:r>
              <w:rPr>
                <w:rFonts w:hint="eastAsia"/>
                <w:color w:val="auto"/>
                <w:sz w:val="18"/>
                <w:szCs w:val="18"/>
                <w:lang w:val="en-US" w:eastAsia="zh-CN"/>
              </w:rPr>
              <w:t>低中山地貌</w:t>
            </w:r>
          </w:p>
        </w:tc>
        <w:tc>
          <w:tcPr>
            <w:tcW w:w="1471" w:type="dxa"/>
            <w:gridSpan w:val="2"/>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防治标准</w:t>
            </w:r>
          </w:p>
        </w:tc>
        <w:tc>
          <w:tcPr>
            <w:tcW w:w="1792" w:type="dxa"/>
            <w:gridSpan w:val="3"/>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一级</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192" w:hRule="atLeast"/>
          <w:jc w:val="center"/>
        </w:trPr>
        <w:tc>
          <w:tcPr>
            <w:tcW w:w="460" w:type="dxa"/>
            <w:vMerge w:val="restart"/>
            <w:tcBorders>
              <w:tl2br w:val="nil"/>
              <w:tr2bl w:val="nil"/>
            </w:tcBorders>
            <w:vAlign w:val="center"/>
          </w:tcPr>
          <w:p>
            <w:pPr>
              <w:pStyle w:val="16"/>
              <w:rPr>
                <w:rFonts w:hint="default"/>
                <w:color w:val="auto"/>
                <w:sz w:val="18"/>
                <w:szCs w:val="18"/>
                <w:lang w:eastAsia="zh-CN"/>
              </w:rPr>
            </w:pPr>
            <w:r>
              <w:rPr>
                <w:rFonts w:hint="default"/>
                <w:color w:val="auto"/>
                <w:sz w:val="18"/>
                <w:szCs w:val="18"/>
                <w:lang w:eastAsia="zh-CN"/>
              </w:rPr>
              <w:t>监测内容</w:t>
            </w:r>
          </w:p>
        </w:tc>
        <w:tc>
          <w:tcPr>
            <w:tcW w:w="2252" w:type="dxa"/>
            <w:gridSpan w:val="3"/>
            <w:tcBorders>
              <w:tl2br w:val="nil"/>
              <w:tr2bl w:val="nil"/>
            </w:tcBorders>
            <w:vAlign w:val="center"/>
          </w:tcPr>
          <w:p>
            <w:pPr>
              <w:pStyle w:val="16"/>
              <w:rPr>
                <w:rFonts w:hint="default"/>
                <w:color w:val="auto"/>
                <w:sz w:val="18"/>
                <w:szCs w:val="18"/>
                <w:lang w:eastAsia="zh-CN"/>
              </w:rPr>
            </w:pPr>
            <w:r>
              <w:rPr>
                <w:rFonts w:hint="default"/>
                <w:color w:val="auto"/>
                <w:sz w:val="18"/>
                <w:szCs w:val="18"/>
                <w:lang w:eastAsia="zh-CN"/>
              </w:rPr>
              <w:t>监测指标</w:t>
            </w:r>
          </w:p>
        </w:tc>
        <w:tc>
          <w:tcPr>
            <w:tcW w:w="1442" w:type="dxa"/>
            <w:gridSpan w:val="3"/>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监测方法（设施）</w:t>
            </w:r>
          </w:p>
        </w:tc>
        <w:tc>
          <w:tcPr>
            <w:tcW w:w="2475" w:type="dxa"/>
            <w:gridSpan w:val="5"/>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监测指标</w:t>
            </w:r>
          </w:p>
        </w:tc>
        <w:tc>
          <w:tcPr>
            <w:tcW w:w="1792" w:type="dxa"/>
            <w:gridSpan w:val="3"/>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监测方法</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406" w:hRule="atLeast"/>
          <w:jc w:val="center"/>
        </w:trPr>
        <w:tc>
          <w:tcPr>
            <w:tcW w:w="460" w:type="dxa"/>
            <w:vMerge w:val="continue"/>
            <w:tcBorders>
              <w:tl2br w:val="nil"/>
              <w:tr2bl w:val="nil"/>
            </w:tcBorders>
            <w:vAlign w:val="center"/>
          </w:tcPr>
          <w:p>
            <w:pPr>
              <w:pStyle w:val="16"/>
              <w:rPr>
                <w:rFonts w:hint="default"/>
                <w:color w:val="auto"/>
                <w:sz w:val="18"/>
                <w:szCs w:val="18"/>
                <w:lang w:eastAsia="zh-CN"/>
              </w:rPr>
            </w:pPr>
          </w:p>
        </w:tc>
        <w:tc>
          <w:tcPr>
            <w:tcW w:w="2252" w:type="dxa"/>
            <w:gridSpan w:val="3"/>
            <w:tcBorders>
              <w:tl2br w:val="nil"/>
              <w:tr2bl w:val="nil"/>
            </w:tcBorders>
            <w:vAlign w:val="center"/>
          </w:tcPr>
          <w:p>
            <w:pPr>
              <w:pStyle w:val="16"/>
              <w:rPr>
                <w:rFonts w:hint="default"/>
                <w:color w:val="auto"/>
                <w:sz w:val="18"/>
                <w:szCs w:val="18"/>
                <w:lang w:eastAsia="zh-CN"/>
              </w:rPr>
            </w:pPr>
            <w:r>
              <w:rPr>
                <w:rFonts w:hint="default"/>
                <w:color w:val="auto"/>
                <w:sz w:val="18"/>
                <w:szCs w:val="18"/>
                <w:lang w:eastAsia="zh-CN"/>
              </w:rPr>
              <w:t>1、水土流失状况监测</w:t>
            </w:r>
          </w:p>
        </w:tc>
        <w:tc>
          <w:tcPr>
            <w:tcW w:w="1442" w:type="dxa"/>
            <w:gridSpan w:val="3"/>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调查、巡查监测</w:t>
            </w:r>
          </w:p>
        </w:tc>
        <w:tc>
          <w:tcPr>
            <w:tcW w:w="2475" w:type="dxa"/>
            <w:gridSpan w:val="5"/>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2、防治责任范围监测</w:t>
            </w:r>
          </w:p>
        </w:tc>
        <w:tc>
          <w:tcPr>
            <w:tcW w:w="1792" w:type="dxa"/>
            <w:gridSpan w:val="3"/>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调查监测</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328" w:hRule="atLeast"/>
          <w:jc w:val="center"/>
        </w:trPr>
        <w:tc>
          <w:tcPr>
            <w:tcW w:w="460" w:type="dxa"/>
            <w:vMerge w:val="continue"/>
            <w:tcBorders>
              <w:tl2br w:val="nil"/>
              <w:tr2bl w:val="nil"/>
            </w:tcBorders>
            <w:vAlign w:val="center"/>
          </w:tcPr>
          <w:p>
            <w:pPr>
              <w:pStyle w:val="16"/>
              <w:rPr>
                <w:rFonts w:hint="default"/>
                <w:color w:val="auto"/>
                <w:sz w:val="18"/>
                <w:szCs w:val="18"/>
                <w:lang w:eastAsia="zh-CN"/>
              </w:rPr>
            </w:pPr>
          </w:p>
        </w:tc>
        <w:tc>
          <w:tcPr>
            <w:tcW w:w="2252" w:type="dxa"/>
            <w:gridSpan w:val="3"/>
            <w:tcBorders>
              <w:tl2br w:val="nil"/>
              <w:tr2bl w:val="nil"/>
            </w:tcBorders>
            <w:vAlign w:val="center"/>
          </w:tcPr>
          <w:p>
            <w:pPr>
              <w:pStyle w:val="16"/>
              <w:rPr>
                <w:rFonts w:hint="default"/>
                <w:color w:val="auto"/>
                <w:sz w:val="18"/>
                <w:szCs w:val="18"/>
                <w:lang w:eastAsia="zh-CN"/>
              </w:rPr>
            </w:pPr>
            <w:r>
              <w:rPr>
                <w:rFonts w:hint="default"/>
                <w:color w:val="auto"/>
                <w:sz w:val="18"/>
                <w:szCs w:val="18"/>
                <w:lang w:eastAsia="zh-CN"/>
              </w:rPr>
              <w:t>3、水土保持措施情况监测</w:t>
            </w:r>
          </w:p>
        </w:tc>
        <w:tc>
          <w:tcPr>
            <w:tcW w:w="1442" w:type="dxa"/>
            <w:gridSpan w:val="3"/>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调查、巡查监测</w:t>
            </w:r>
          </w:p>
        </w:tc>
        <w:tc>
          <w:tcPr>
            <w:tcW w:w="2475" w:type="dxa"/>
            <w:gridSpan w:val="5"/>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4、防治措施效果监测</w:t>
            </w:r>
          </w:p>
        </w:tc>
        <w:tc>
          <w:tcPr>
            <w:tcW w:w="1792" w:type="dxa"/>
            <w:gridSpan w:val="3"/>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调查、巡查监测</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264" w:hRule="atLeast"/>
          <w:jc w:val="center"/>
        </w:trPr>
        <w:tc>
          <w:tcPr>
            <w:tcW w:w="460" w:type="dxa"/>
            <w:vMerge w:val="continue"/>
            <w:tcBorders>
              <w:tl2br w:val="nil"/>
              <w:tr2bl w:val="nil"/>
            </w:tcBorders>
            <w:vAlign w:val="center"/>
          </w:tcPr>
          <w:p>
            <w:pPr>
              <w:pStyle w:val="16"/>
              <w:rPr>
                <w:rFonts w:hint="default"/>
                <w:color w:val="auto"/>
                <w:sz w:val="18"/>
                <w:szCs w:val="18"/>
                <w:lang w:eastAsia="zh-CN"/>
              </w:rPr>
            </w:pPr>
          </w:p>
        </w:tc>
        <w:tc>
          <w:tcPr>
            <w:tcW w:w="2252" w:type="dxa"/>
            <w:gridSpan w:val="3"/>
            <w:tcBorders>
              <w:tl2br w:val="nil"/>
              <w:tr2bl w:val="nil"/>
            </w:tcBorders>
            <w:vAlign w:val="center"/>
          </w:tcPr>
          <w:p>
            <w:pPr>
              <w:pStyle w:val="16"/>
              <w:rPr>
                <w:rFonts w:hint="default"/>
                <w:color w:val="auto"/>
                <w:sz w:val="18"/>
                <w:szCs w:val="18"/>
                <w:lang w:eastAsia="zh-CN"/>
              </w:rPr>
            </w:pPr>
            <w:r>
              <w:rPr>
                <w:rFonts w:hint="default"/>
                <w:color w:val="auto"/>
                <w:sz w:val="18"/>
                <w:szCs w:val="18"/>
                <w:lang w:eastAsia="zh-CN"/>
              </w:rPr>
              <w:t>5、水土流失危害监测</w:t>
            </w:r>
          </w:p>
        </w:tc>
        <w:tc>
          <w:tcPr>
            <w:tcW w:w="1442" w:type="dxa"/>
            <w:gridSpan w:val="3"/>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现场巡查监测</w:t>
            </w:r>
          </w:p>
        </w:tc>
        <w:tc>
          <w:tcPr>
            <w:tcW w:w="2475" w:type="dxa"/>
            <w:gridSpan w:val="5"/>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水土流失背景值</w:t>
            </w:r>
          </w:p>
        </w:tc>
        <w:tc>
          <w:tcPr>
            <w:tcW w:w="1792" w:type="dxa"/>
            <w:gridSpan w:val="3"/>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eastAsia"/>
                <w:color w:val="auto"/>
                <w:sz w:val="18"/>
                <w:szCs w:val="18"/>
                <w:lang w:val="en-US" w:eastAsia="zh-CN"/>
              </w:rPr>
              <w:t>566.55</w:t>
            </w:r>
            <w:r>
              <w:rPr>
                <w:rFonts w:hint="default"/>
                <w:color w:val="auto"/>
                <w:sz w:val="18"/>
                <w:szCs w:val="18"/>
                <w:lang w:eastAsia="zh-CN"/>
              </w:rPr>
              <w:t>t/k</w:t>
            </w:r>
            <w:r>
              <w:rPr>
                <w:rFonts w:hint="eastAsia"/>
                <w:color w:val="auto"/>
                <w:sz w:val="18"/>
                <w:szCs w:val="18"/>
                <w:lang w:eastAsia="zh-CN"/>
              </w:rPr>
              <w:t>m</w:t>
            </w:r>
            <w:r>
              <w:rPr>
                <w:rFonts w:hint="eastAsia"/>
                <w:color w:val="auto"/>
                <w:sz w:val="18"/>
                <w:szCs w:val="18"/>
                <w:vertAlign w:val="superscript"/>
                <w:lang w:val="en-US" w:eastAsia="zh-CN"/>
              </w:rPr>
              <w:t>2</w:t>
            </w:r>
            <w:r>
              <w:rPr>
                <w:rFonts w:hint="default"/>
                <w:color w:val="auto"/>
                <w:sz w:val="18"/>
                <w:szCs w:val="18"/>
                <w:lang w:eastAsia="zh-CN"/>
              </w:rPr>
              <w:t>·a</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201" w:hRule="atLeast"/>
          <w:jc w:val="center"/>
        </w:trPr>
        <w:tc>
          <w:tcPr>
            <w:tcW w:w="2712" w:type="dxa"/>
            <w:gridSpan w:val="4"/>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方案设计防治责任范围</w:t>
            </w:r>
          </w:p>
        </w:tc>
        <w:tc>
          <w:tcPr>
            <w:tcW w:w="1442" w:type="dxa"/>
            <w:gridSpan w:val="3"/>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eastAsia"/>
                <w:color w:val="auto"/>
                <w:sz w:val="18"/>
                <w:szCs w:val="18"/>
                <w:lang w:val="en-US" w:eastAsia="zh-CN"/>
              </w:rPr>
              <w:t>72.27</w:t>
            </w:r>
            <w:r>
              <w:rPr>
                <w:rFonts w:hint="default"/>
                <w:color w:val="auto"/>
                <w:sz w:val="18"/>
                <w:szCs w:val="18"/>
                <w:lang w:eastAsia="zh-CN"/>
              </w:rPr>
              <w:t>hm</w:t>
            </w:r>
            <w:r>
              <w:rPr>
                <w:rFonts w:hint="eastAsia"/>
                <w:color w:val="auto"/>
                <w:sz w:val="18"/>
                <w:szCs w:val="18"/>
                <w:vertAlign w:val="superscript"/>
                <w:lang w:val="en-US" w:eastAsia="zh-CN"/>
              </w:rPr>
              <w:t>2</w:t>
            </w:r>
          </w:p>
        </w:tc>
        <w:tc>
          <w:tcPr>
            <w:tcW w:w="2475" w:type="dxa"/>
            <w:gridSpan w:val="5"/>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土壤容许流失量</w:t>
            </w:r>
          </w:p>
        </w:tc>
        <w:tc>
          <w:tcPr>
            <w:tcW w:w="1792" w:type="dxa"/>
            <w:gridSpan w:val="3"/>
            <w:tcBorders>
              <w:tl2br w:val="nil"/>
              <w:tr2bl w:val="nil"/>
            </w:tcBorders>
            <w:tcMar>
              <w:top w:w="0" w:type="dxa"/>
              <w:left w:w="57" w:type="dxa"/>
              <w:bottom w:w="0" w:type="dxa"/>
              <w:right w:w="57" w:type="dxa"/>
            </w:tcMar>
            <w:vAlign w:val="center"/>
          </w:tcPr>
          <w:p>
            <w:pPr>
              <w:pStyle w:val="16"/>
              <w:rPr>
                <w:rFonts w:hint="default"/>
                <w:color w:val="auto"/>
                <w:sz w:val="18"/>
                <w:szCs w:val="18"/>
                <w:lang w:eastAsia="zh-CN"/>
              </w:rPr>
            </w:pPr>
            <w:r>
              <w:rPr>
                <w:rFonts w:hint="default"/>
                <w:color w:val="auto"/>
                <w:sz w:val="18"/>
                <w:szCs w:val="18"/>
                <w:lang w:eastAsia="zh-CN"/>
              </w:rPr>
              <w:t>500 t/k</w:t>
            </w:r>
            <w:r>
              <w:rPr>
                <w:rFonts w:hint="eastAsia"/>
                <w:color w:val="auto"/>
                <w:sz w:val="18"/>
                <w:szCs w:val="18"/>
                <w:lang w:eastAsia="zh-CN"/>
              </w:rPr>
              <w:t>m</w:t>
            </w:r>
            <w:r>
              <w:rPr>
                <w:rFonts w:hint="eastAsia"/>
                <w:color w:val="auto"/>
                <w:sz w:val="18"/>
                <w:szCs w:val="18"/>
                <w:vertAlign w:val="superscript"/>
                <w:lang w:val="en-US" w:eastAsia="zh-CN"/>
              </w:rPr>
              <w:t>2</w:t>
            </w:r>
            <w:r>
              <w:rPr>
                <w:rFonts w:hint="default"/>
                <w:color w:val="auto"/>
                <w:sz w:val="18"/>
                <w:szCs w:val="18"/>
                <w:lang w:eastAsia="zh-CN"/>
              </w:rPr>
              <w:t>·a</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90" w:hRule="atLeast"/>
          <w:jc w:val="center"/>
        </w:trPr>
        <w:tc>
          <w:tcPr>
            <w:tcW w:w="460" w:type="dxa"/>
            <w:tcBorders>
              <w:tl2br w:val="nil"/>
              <w:tr2bl w:val="nil"/>
            </w:tcBorders>
            <w:tcMar>
              <w:top w:w="0" w:type="dxa"/>
              <w:left w:w="57" w:type="dxa"/>
              <w:bottom w:w="0" w:type="dxa"/>
              <w:right w:w="57" w:type="dxa"/>
            </w:tcMar>
            <w:vAlign w:val="center"/>
          </w:tcPr>
          <w:p>
            <w:pPr>
              <w:pStyle w:val="16"/>
              <w:rPr>
                <w:rFonts w:hint="default"/>
                <w:color w:val="auto"/>
                <w:sz w:val="18"/>
                <w:szCs w:val="18"/>
              </w:rPr>
            </w:pPr>
            <w:r>
              <w:rPr>
                <w:rFonts w:hint="default"/>
                <w:color w:val="auto"/>
                <w:sz w:val="18"/>
                <w:szCs w:val="18"/>
              </w:rPr>
              <w:t>防治措施</w:t>
            </w:r>
          </w:p>
        </w:tc>
        <w:tc>
          <w:tcPr>
            <w:tcW w:w="7961" w:type="dxa"/>
            <w:gridSpan w:val="14"/>
            <w:tcBorders>
              <w:tl2br w:val="nil"/>
              <w:tr2bl w:val="nil"/>
            </w:tcBorders>
            <w:tcMar>
              <w:top w:w="0" w:type="dxa"/>
              <w:left w:w="57" w:type="dxa"/>
              <w:bottom w:w="0" w:type="dxa"/>
              <w:right w:w="57" w:type="dxa"/>
            </w:tcMar>
            <w:vAlign w:val="center"/>
          </w:tcPr>
          <w:p>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360" w:firstLineChars="200"/>
              <w:jc w:val="both"/>
              <w:textAlignment w:val="auto"/>
              <w:outlineLvl w:val="9"/>
              <w:rPr>
                <w:rFonts w:hint="default"/>
                <w:color w:val="auto"/>
                <w:sz w:val="18"/>
                <w:szCs w:val="18"/>
              </w:rPr>
            </w:pPr>
            <w:r>
              <w:rPr>
                <w:rFonts w:hint="eastAsia"/>
                <w:color w:val="auto"/>
                <w:sz w:val="18"/>
                <w:szCs w:val="18"/>
                <w:lang w:eastAsia="zh-CN"/>
              </w:rPr>
              <w:t>工程措施：主体已实施共计道路边沟41330m，桥梁排水管36m，挡渣墙442m，截水沟35m，综合护坡</w:t>
            </w:r>
            <w:r>
              <w:rPr>
                <w:rFonts w:hint="eastAsia"/>
                <w:color w:val="auto"/>
                <w:sz w:val="18"/>
                <w:szCs w:val="18"/>
                <w:lang w:val="en-US" w:eastAsia="zh-CN"/>
              </w:rPr>
              <w:t>21117m</w:t>
            </w:r>
            <w:r>
              <w:rPr>
                <w:rFonts w:hint="eastAsia"/>
                <w:color w:val="auto"/>
                <w:sz w:val="18"/>
                <w:szCs w:val="18"/>
                <w:vertAlign w:val="superscript"/>
                <w:lang w:val="en-US" w:eastAsia="zh-CN"/>
              </w:rPr>
              <w:t>2</w:t>
            </w:r>
            <w:r>
              <w:rPr>
                <w:rFonts w:hint="eastAsia"/>
                <w:color w:val="auto"/>
                <w:sz w:val="18"/>
                <w:szCs w:val="18"/>
                <w:lang w:val="en-US" w:eastAsia="zh-CN"/>
              </w:rPr>
              <w:t>，覆土整治2.17hm</w:t>
            </w:r>
            <w:r>
              <w:rPr>
                <w:rFonts w:hint="eastAsia"/>
                <w:color w:val="auto"/>
                <w:sz w:val="18"/>
                <w:szCs w:val="18"/>
                <w:vertAlign w:val="superscript"/>
                <w:lang w:val="en-US" w:eastAsia="zh-CN"/>
              </w:rPr>
              <w:t>2</w:t>
            </w:r>
            <w:r>
              <w:rPr>
                <w:rFonts w:hint="eastAsia"/>
                <w:color w:val="auto"/>
                <w:sz w:val="18"/>
                <w:szCs w:val="18"/>
                <w:lang w:val="en-US" w:eastAsia="zh-CN"/>
              </w:rPr>
              <w:t>，植物攀爬网9381m</w:t>
            </w:r>
            <w:r>
              <w:rPr>
                <w:rFonts w:hint="eastAsia"/>
                <w:color w:val="auto"/>
                <w:sz w:val="18"/>
                <w:szCs w:val="18"/>
                <w:vertAlign w:val="superscript"/>
                <w:lang w:val="en-US" w:eastAsia="zh-CN"/>
              </w:rPr>
              <w:t>2</w:t>
            </w:r>
            <w:r>
              <w:rPr>
                <w:rFonts w:hint="eastAsia"/>
                <w:color w:val="auto"/>
                <w:sz w:val="18"/>
                <w:szCs w:val="18"/>
                <w:lang w:val="en-US" w:eastAsia="zh-CN"/>
              </w:rPr>
              <w:t>；植物措施：混播植草3.36hm</w:t>
            </w:r>
            <w:r>
              <w:rPr>
                <w:rFonts w:hint="eastAsia"/>
                <w:color w:val="auto"/>
                <w:sz w:val="18"/>
                <w:szCs w:val="18"/>
                <w:vertAlign w:val="superscript"/>
                <w:lang w:val="en-US" w:eastAsia="zh-CN"/>
              </w:rPr>
              <w:t>2</w:t>
            </w:r>
            <w:r>
              <w:rPr>
                <w:rFonts w:hint="eastAsia"/>
                <w:color w:val="auto"/>
                <w:sz w:val="18"/>
                <w:szCs w:val="18"/>
                <w:lang w:val="en-US" w:eastAsia="zh-CN"/>
              </w:rPr>
              <w:t>，植草护坡3.65hm</w:t>
            </w:r>
            <w:r>
              <w:rPr>
                <w:rFonts w:hint="eastAsia"/>
                <w:color w:val="auto"/>
                <w:sz w:val="18"/>
                <w:szCs w:val="18"/>
                <w:vertAlign w:val="superscript"/>
                <w:lang w:val="en-US" w:eastAsia="zh-CN"/>
              </w:rPr>
              <w:t>2</w:t>
            </w:r>
            <w:r>
              <w:rPr>
                <w:rFonts w:hint="eastAsia"/>
                <w:color w:val="auto"/>
                <w:sz w:val="18"/>
                <w:szCs w:val="18"/>
                <w:lang w:val="en-US" w:eastAsia="zh-CN"/>
              </w:rPr>
              <w:t>，种行道树13908株，种植油麻藤235株，播撒草种3.55hm</w:t>
            </w:r>
            <w:r>
              <w:rPr>
                <w:rFonts w:hint="eastAsia"/>
                <w:color w:val="auto"/>
                <w:sz w:val="18"/>
                <w:szCs w:val="18"/>
                <w:vertAlign w:val="superscript"/>
                <w:lang w:val="en-US" w:eastAsia="zh-CN"/>
              </w:rPr>
              <w:t>2</w:t>
            </w:r>
            <w:r>
              <w:rPr>
                <w:rFonts w:hint="eastAsia"/>
                <w:color w:val="auto"/>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340" w:hRule="atLeast"/>
          <w:jc w:val="center"/>
        </w:trPr>
        <w:tc>
          <w:tcPr>
            <w:tcW w:w="460" w:type="dxa"/>
            <w:vMerge w:val="restart"/>
            <w:tcBorders>
              <w:tl2br w:val="nil"/>
              <w:tr2bl w:val="nil"/>
            </w:tcBorders>
            <w:tcMar>
              <w:top w:w="0" w:type="dxa"/>
              <w:left w:w="57" w:type="dxa"/>
              <w:bottom w:w="0" w:type="dxa"/>
              <w:right w:w="57" w:type="dxa"/>
            </w:tcMar>
            <w:vAlign w:val="center"/>
          </w:tcPr>
          <w:p>
            <w:pPr>
              <w:pStyle w:val="16"/>
              <w:rPr>
                <w:rFonts w:hint="default"/>
                <w:color w:val="auto"/>
                <w:sz w:val="18"/>
                <w:szCs w:val="18"/>
              </w:rPr>
            </w:pPr>
            <w:r>
              <w:rPr>
                <w:rFonts w:hint="default"/>
                <w:color w:val="auto"/>
                <w:sz w:val="18"/>
                <w:szCs w:val="18"/>
              </w:rPr>
              <w:t>监测结论</w:t>
            </w:r>
          </w:p>
        </w:tc>
        <w:tc>
          <w:tcPr>
            <w:tcW w:w="460" w:type="dxa"/>
            <w:vMerge w:val="restart"/>
            <w:tcBorders>
              <w:tl2br w:val="nil"/>
              <w:tr2bl w:val="nil"/>
            </w:tcBorders>
            <w:vAlign w:val="center"/>
          </w:tcPr>
          <w:p>
            <w:pPr>
              <w:pStyle w:val="16"/>
              <w:rPr>
                <w:rFonts w:hint="default"/>
                <w:color w:val="auto"/>
                <w:sz w:val="18"/>
                <w:szCs w:val="18"/>
              </w:rPr>
            </w:pPr>
            <w:r>
              <w:rPr>
                <w:rFonts w:hint="default"/>
                <w:color w:val="auto"/>
                <w:sz w:val="18"/>
                <w:szCs w:val="18"/>
              </w:rPr>
              <w:t>防治效果</w:t>
            </w:r>
          </w:p>
        </w:tc>
        <w:tc>
          <w:tcPr>
            <w:tcW w:w="896" w:type="dxa"/>
            <w:tcBorders>
              <w:tl2br w:val="nil"/>
              <w:tr2bl w:val="nil"/>
            </w:tcBorders>
            <w:vAlign w:val="center"/>
          </w:tcPr>
          <w:p>
            <w:pPr>
              <w:pStyle w:val="16"/>
              <w:rPr>
                <w:rFonts w:hint="default"/>
                <w:color w:val="auto"/>
                <w:sz w:val="18"/>
                <w:szCs w:val="18"/>
              </w:rPr>
            </w:pPr>
            <w:r>
              <w:rPr>
                <w:rFonts w:hint="default"/>
                <w:color w:val="auto"/>
                <w:sz w:val="18"/>
                <w:szCs w:val="18"/>
              </w:rPr>
              <w:t>分类指标</w:t>
            </w:r>
          </w:p>
        </w:tc>
        <w:tc>
          <w:tcPr>
            <w:tcW w:w="896" w:type="dxa"/>
            <w:tcBorders>
              <w:tl2br w:val="nil"/>
              <w:tr2bl w:val="nil"/>
            </w:tcBorders>
            <w:vAlign w:val="center"/>
          </w:tcPr>
          <w:p>
            <w:pPr>
              <w:pStyle w:val="16"/>
              <w:rPr>
                <w:rFonts w:hint="default"/>
                <w:color w:val="auto"/>
                <w:sz w:val="18"/>
                <w:szCs w:val="18"/>
              </w:rPr>
            </w:pPr>
            <w:r>
              <w:rPr>
                <w:rFonts w:hint="default"/>
                <w:color w:val="auto"/>
                <w:sz w:val="18"/>
                <w:szCs w:val="18"/>
              </w:rPr>
              <w:t>目标值（%）</w:t>
            </w:r>
          </w:p>
        </w:tc>
        <w:tc>
          <w:tcPr>
            <w:tcW w:w="896" w:type="dxa"/>
            <w:tcBorders>
              <w:tl2br w:val="nil"/>
              <w:tr2bl w:val="nil"/>
            </w:tcBorders>
            <w:vAlign w:val="center"/>
          </w:tcPr>
          <w:p>
            <w:pPr>
              <w:pStyle w:val="16"/>
              <w:rPr>
                <w:rFonts w:hint="default"/>
                <w:color w:val="auto"/>
                <w:sz w:val="18"/>
                <w:szCs w:val="18"/>
              </w:rPr>
            </w:pPr>
            <w:r>
              <w:rPr>
                <w:rFonts w:hint="default"/>
                <w:color w:val="auto"/>
                <w:sz w:val="18"/>
                <w:szCs w:val="18"/>
              </w:rPr>
              <w:t>达到值（%）</w:t>
            </w:r>
          </w:p>
        </w:tc>
        <w:tc>
          <w:tcPr>
            <w:tcW w:w="4813" w:type="dxa"/>
            <w:gridSpan w:val="10"/>
            <w:tcBorders>
              <w:tl2br w:val="nil"/>
              <w:tr2bl w:val="nil"/>
            </w:tcBorders>
            <w:vAlign w:val="center"/>
          </w:tcPr>
          <w:p>
            <w:pPr>
              <w:pStyle w:val="16"/>
              <w:rPr>
                <w:rFonts w:hint="default"/>
                <w:color w:val="auto"/>
                <w:sz w:val="18"/>
                <w:szCs w:val="18"/>
              </w:rPr>
            </w:pPr>
            <w:r>
              <w:rPr>
                <w:rFonts w:hint="default"/>
                <w:color w:val="auto"/>
                <w:sz w:val="18"/>
                <w:szCs w:val="18"/>
              </w:rPr>
              <w:t>实际监测数量hm²</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340" w:hRule="atLeast"/>
          <w:jc w:val="center"/>
        </w:trPr>
        <w:tc>
          <w:tcPr>
            <w:tcW w:w="460" w:type="dxa"/>
            <w:vMerge w:val="continue"/>
            <w:tcBorders>
              <w:tl2br w:val="nil"/>
              <w:tr2bl w:val="nil"/>
            </w:tcBorders>
            <w:vAlign w:val="center"/>
          </w:tcPr>
          <w:p>
            <w:pPr>
              <w:pStyle w:val="16"/>
              <w:rPr>
                <w:rFonts w:hint="default"/>
                <w:color w:val="auto"/>
                <w:sz w:val="18"/>
                <w:szCs w:val="18"/>
              </w:rPr>
            </w:pPr>
          </w:p>
        </w:tc>
        <w:tc>
          <w:tcPr>
            <w:tcW w:w="460" w:type="dxa"/>
            <w:vMerge w:val="continue"/>
            <w:tcBorders>
              <w:tl2br w:val="nil"/>
              <w:tr2bl w:val="nil"/>
            </w:tcBorders>
            <w:vAlign w:val="center"/>
          </w:tcPr>
          <w:p>
            <w:pPr>
              <w:pStyle w:val="16"/>
              <w:rPr>
                <w:rFonts w:hint="default"/>
                <w:color w:val="auto"/>
                <w:sz w:val="18"/>
                <w:szCs w:val="18"/>
              </w:rPr>
            </w:pPr>
          </w:p>
        </w:tc>
        <w:tc>
          <w:tcPr>
            <w:tcW w:w="896" w:type="dxa"/>
            <w:tcBorders>
              <w:tl2br w:val="nil"/>
              <w:tr2bl w:val="nil"/>
            </w:tcBorders>
            <w:vAlign w:val="center"/>
          </w:tcPr>
          <w:p>
            <w:pPr>
              <w:pStyle w:val="16"/>
              <w:rPr>
                <w:rFonts w:hint="default"/>
                <w:color w:val="auto"/>
                <w:sz w:val="18"/>
                <w:szCs w:val="18"/>
              </w:rPr>
            </w:pPr>
            <w:r>
              <w:rPr>
                <w:rFonts w:hint="default"/>
                <w:color w:val="auto"/>
                <w:sz w:val="18"/>
                <w:szCs w:val="18"/>
              </w:rPr>
              <w:t>扰动土地整治率</w:t>
            </w:r>
          </w:p>
        </w:tc>
        <w:tc>
          <w:tcPr>
            <w:tcW w:w="896" w:type="dxa"/>
            <w:tcBorders>
              <w:tl2br w:val="nil"/>
              <w:tr2bl w:val="nil"/>
            </w:tcBorders>
            <w:vAlign w:val="center"/>
          </w:tcPr>
          <w:p>
            <w:pPr>
              <w:pStyle w:val="16"/>
              <w:rPr>
                <w:rFonts w:hint="default"/>
                <w:color w:val="auto"/>
                <w:sz w:val="18"/>
                <w:szCs w:val="18"/>
              </w:rPr>
            </w:pPr>
            <w:r>
              <w:rPr>
                <w:rFonts w:hint="default"/>
                <w:color w:val="auto"/>
                <w:sz w:val="18"/>
                <w:szCs w:val="18"/>
              </w:rPr>
              <w:t>&gt;95</w:t>
            </w:r>
          </w:p>
        </w:tc>
        <w:tc>
          <w:tcPr>
            <w:tcW w:w="896" w:type="dxa"/>
            <w:tcBorders>
              <w:tl2br w:val="nil"/>
              <w:tr2bl w:val="nil"/>
            </w:tcBorders>
            <w:vAlign w:val="center"/>
          </w:tcPr>
          <w:p>
            <w:pPr>
              <w:keepNext w:val="0"/>
              <w:keepLines w:val="0"/>
              <w:pageBreakBefore w:val="0"/>
              <w:widowControl w:val="0"/>
              <w:kinsoku/>
              <w:wordWrap/>
              <w:overflowPunct/>
              <w:topLinePunct/>
              <w:autoSpaceDE w:val="0"/>
              <w:autoSpaceDN w:val="0"/>
              <w:bidi w:val="0"/>
              <w:adjustRightInd w:val="0"/>
              <w:snapToGrid w:val="0"/>
              <w:ind w:firstLine="0" w:firstLineChars="0"/>
              <w:contextualSpacing/>
              <w:jc w:val="center"/>
              <w:textAlignment w:val="auto"/>
              <w:rPr>
                <w:rFonts w:hint="default" w:ascii="Times New Roman" w:hAnsi="Times New Roman" w:eastAsia="黑体" w:cs="Times New Roman"/>
                <w:color w:val="auto"/>
                <w:sz w:val="18"/>
                <w:szCs w:val="18"/>
                <w:lang w:val="en-US" w:eastAsia="zh-CN"/>
              </w:rPr>
            </w:pPr>
            <w:r>
              <w:rPr>
                <w:rFonts w:hint="eastAsia" w:eastAsia="黑体" w:cs="Times New Roman"/>
                <w:color w:val="auto"/>
                <w:sz w:val="18"/>
                <w:szCs w:val="18"/>
                <w:lang w:val="en-US" w:eastAsia="zh-CN"/>
              </w:rPr>
              <w:t>99.81</w:t>
            </w:r>
          </w:p>
        </w:tc>
        <w:tc>
          <w:tcPr>
            <w:tcW w:w="792" w:type="dxa"/>
            <w:gridSpan w:val="3"/>
            <w:tcBorders>
              <w:tl2br w:val="nil"/>
              <w:tr2bl w:val="nil"/>
            </w:tcBorders>
            <w:tcMar>
              <w:top w:w="0" w:type="dxa"/>
              <w:left w:w="57" w:type="dxa"/>
              <w:bottom w:w="0" w:type="dxa"/>
              <w:right w:w="57" w:type="dxa"/>
            </w:tcMar>
            <w:vAlign w:val="center"/>
          </w:tcPr>
          <w:p>
            <w:pPr>
              <w:pStyle w:val="16"/>
              <w:rPr>
                <w:rFonts w:hint="default"/>
                <w:color w:val="auto"/>
                <w:sz w:val="18"/>
                <w:szCs w:val="18"/>
              </w:rPr>
            </w:pPr>
            <w:r>
              <w:rPr>
                <w:rFonts w:hint="default"/>
                <w:color w:val="auto"/>
                <w:sz w:val="18"/>
                <w:szCs w:val="18"/>
              </w:rPr>
              <w:t>防治措施面积</w:t>
            </w:r>
          </w:p>
        </w:tc>
        <w:tc>
          <w:tcPr>
            <w:tcW w:w="641" w:type="dxa"/>
            <w:tcBorders>
              <w:tl2br w:val="nil"/>
              <w:tr2bl w:val="nil"/>
            </w:tcBorders>
            <w:tcMar>
              <w:top w:w="0" w:type="dxa"/>
              <w:left w:w="57" w:type="dxa"/>
              <w:bottom w:w="0" w:type="dxa"/>
              <w:right w:w="57" w:type="dxa"/>
            </w:tcMar>
            <w:vAlign w:val="center"/>
          </w:tcPr>
          <w:p>
            <w:pPr>
              <w:pStyle w:val="16"/>
              <w:rPr>
                <w:rFonts w:hint="default"/>
                <w:color w:val="auto"/>
                <w:sz w:val="18"/>
                <w:szCs w:val="18"/>
              </w:rPr>
            </w:pPr>
            <w:r>
              <w:rPr>
                <w:rFonts w:hint="eastAsia"/>
                <w:color w:val="auto"/>
                <w:sz w:val="18"/>
                <w:szCs w:val="18"/>
                <w:lang w:val="en-US" w:eastAsia="zh-CN"/>
              </w:rPr>
              <w:t>33.69</w:t>
            </w:r>
            <w:r>
              <w:rPr>
                <w:rFonts w:hint="default"/>
                <w:color w:val="auto"/>
                <w:sz w:val="18"/>
                <w:szCs w:val="18"/>
              </w:rPr>
              <w:t>hm²</w:t>
            </w:r>
          </w:p>
        </w:tc>
        <w:tc>
          <w:tcPr>
            <w:tcW w:w="950" w:type="dxa"/>
            <w:gridSpan w:val="2"/>
            <w:tcBorders>
              <w:tl2br w:val="nil"/>
              <w:tr2bl w:val="nil"/>
            </w:tcBorders>
            <w:tcMar>
              <w:top w:w="0" w:type="dxa"/>
              <w:left w:w="57" w:type="dxa"/>
              <w:bottom w:w="0" w:type="dxa"/>
              <w:right w:w="57" w:type="dxa"/>
            </w:tcMar>
            <w:vAlign w:val="center"/>
          </w:tcPr>
          <w:p>
            <w:pPr>
              <w:pStyle w:val="16"/>
              <w:rPr>
                <w:rFonts w:hint="default"/>
                <w:color w:val="auto"/>
                <w:sz w:val="18"/>
                <w:szCs w:val="18"/>
              </w:rPr>
            </w:pPr>
            <w:r>
              <w:rPr>
                <w:rFonts w:hint="default"/>
                <w:color w:val="auto"/>
                <w:sz w:val="18"/>
                <w:szCs w:val="18"/>
              </w:rPr>
              <w:t>永久建筑物及硬化面积</w:t>
            </w:r>
          </w:p>
        </w:tc>
        <w:tc>
          <w:tcPr>
            <w:tcW w:w="638" w:type="dxa"/>
            <w:tcBorders>
              <w:tl2br w:val="nil"/>
              <w:tr2bl w:val="nil"/>
            </w:tcBorders>
            <w:tcMar>
              <w:top w:w="0" w:type="dxa"/>
              <w:left w:w="57" w:type="dxa"/>
              <w:bottom w:w="0" w:type="dxa"/>
              <w:right w:w="57" w:type="dxa"/>
            </w:tcMar>
            <w:vAlign w:val="center"/>
          </w:tcPr>
          <w:p>
            <w:pPr>
              <w:pStyle w:val="16"/>
              <w:rPr>
                <w:rFonts w:hint="default"/>
                <w:color w:val="auto"/>
                <w:sz w:val="18"/>
                <w:szCs w:val="18"/>
              </w:rPr>
            </w:pPr>
            <w:r>
              <w:rPr>
                <w:rFonts w:hint="eastAsia"/>
                <w:color w:val="auto"/>
                <w:sz w:val="18"/>
                <w:szCs w:val="18"/>
                <w:lang w:val="en-US" w:eastAsia="zh-CN"/>
              </w:rPr>
              <w:t>30.34</w:t>
            </w:r>
            <w:r>
              <w:rPr>
                <w:rFonts w:hint="default"/>
                <w:color w:val="auto"/>
                <w:sz w:val="18"/>
                <w:szCs w:val="18"/>
              </w:rPr>
              <w:t>hm²</w:t>
            </w:r>
          </w:p>
        </w:tc>
        <w:tc>
          <w:tcPr>
            <w:tcW w:w="827" w:type="dxa"/>
            <w:gridSpan w:val="2"/>
            <w:tcBorders>
              <w:tl2br w:val="nil"/>
              <w:tr2bl w:val="nil"/>
            </w:tcBorders>
            <w:tcMar>
              <w:top w:w="0" w:type="dxa"/>
              <w:left w:w="57" w:type="dxa"/>
              <w:bottom w:w="0" w:type="dxa"/>
              <w:right w:w="57" w:type="dxa"/>
            </w:tcMar>
            <w:vAlign w:val="center"/>
          </w:tcPr>
          <w:p>
            <w:pPr>
              <w:pStyle w:val="16"/>
              <w:rPr>
                <w:rFonts w:hint="default"/>
                <w:color w:val="auto"/>
                <w:sz w:val="18"/>
                <w:szCs w:val="18"/>
              </w:rPr>
            </w:pPr>
            <w:r>
              <w:rPr>
                <w:rFonts w:hint="default"/>
                <w:color w:val="auto"/>
                <w:sz w:val="18"/>
                <w:szCs w:val="18"/>
              </w:rPr>
              <w:t>扰动地表面积</w:t>
            </w:r>
          </w:p>
        </w:tc>
        <w:tc>
          <w:tcPr>
            <w:tcW w:w="965" w:type="dxa"/>
            <w:tcBorders>
              <w:tl2br w:val="nil"/>
              <w:tr2bl w:val="nil"/>
            </w:tcBorders>
            <w:tcMar>
              <w:top w:w="0" w:type="dxa"/>
              <w:left w:w="57" w:type="dxa"/>
              <w:bottom w:w="0" w:type="dxa"/>
              <w:right w:w="57" w:type="dxa"/>
            </w:tcMar>
            <w:vAlign w:val="center"/>
          </w:tcPr>
          <w:p>
            <w:pPr>
              <w:pStyle w:val="16"/>
              <w:rPr>
                <w:rFonts w:hint="default"/>
                <w:color w:val="auto"/>
                <w:sz w:val="18"/>
                <w:szCs w:val="18"/>
              </w:rPr>
            </w:pPr>
            <w:r>
              <w:rPr>
                <w:rFonts w:hint="eastAsia"/>
                <w:color w:val="auto"/>
                <w:sz w:val="18"/>
                <w:szCs w:val="18"/>
                <w:lang w:val="en-US" w:eastAsia="zh-CN"/>
              </w:rPr>
              <w:t>64.15h</w:t>
            </w:r>
            <w:r>
              <w:rPr>
                <w:rFonts w:hint="default"/>
                <w:color w:val="auto"/>
                <w:sz w:val="18"/>
                <w:szCs w:val="18"/>
              </w:rPr>
              <w:t>m²</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653" w:hRule="atLeast"/>
          <w:jc w:val="center"/>
        </w:trPr>
        <w:tc>
          <w:tcPr>
            <w:tcW w:w="460" w:type="dxa"/>
            <w:vMerge w:val="continue"/>
            <w:tcBorders>
              <w:tl2br w:val="nil"/>
              <w:tr2bl w:val="nil"/>
            </w:tcBorders>
            <w:vAlign w:val="center"/>
          </w:tcPr>
          <w:p>
            <w:pPr>
              <w:pStyle w:val="16"/>
              <w:rPr>
                <w:rFonts w:hint="default"/>
                <w:color w:val="auto"/>
                <w:sz w:val="18"/>
                <w:szCs w:val="18"/>
              </w:rPr>
            </w:pPr>
          </w:p>
        </w:tc>
        <w:tc>
          <w:tcPr>
            <w:tcW w:w="460" w:type="dxa"/>
            <w:vMerge w:val="continue"/>
            <w:tcBorders>
              <w:tl2br w:val="nil"/>
              <w:tr2bl w:val="nil"/>
            </w:tcBorders>
            <w:vAlign w:val="center"/>
          </w:tcPr>
          <w:p>
            <w:pPr>
              <w:pStyle w:val="16"/>
              <w:rPr>
                <w:rFonts w:hint="default"/>
                <w:color w:val="auto"/>
                <w:sz w:val="18"/>
                <w:szCs w:val="18"/>
              </w:rPr>
            </w:pPr>
          </w:p>
        </w:tc>
        <w:tc>
          <w:tcPr>
            <w:tcW w:w="896" w:type="dxa"/>
            <w:tcBorders>
              <w:tl2br w:val="nil"/>
              <w:tr2bl w:val="nil"/>
            </w:tcBorders>
            <w:vAlign w:val="center"/>
          </w:tcPr>
          <w:p>
            <w:pPr>
              <w:pStyle w:val="16"/>
              <w:rPr>
                <w:rFonts w:hint="default"/>
                <w:color w:val="auto"/>
                <w:sz w:val="18"/>
                <w:szCs w:val="18"/>
              </w:rPr>
            </w:pPr>
            <w:r>
              <w:rPr>
                <w:rFonts w:hint="default"/>
                <w:color w:val="auto"/>
                <w:sz w:val="18"/>
                <w:szCs w:val="18"/>
              </w:rPr>
              <w:t>水土流失总治理度</w:t>
            </w:r>
          </w:p>
        </w:tc>
        <w:tc>
          <w:tcPr>
            <w:tcW w:w="896" w:type="dxa"/>
            <w:tcBorders>
              <w:tl2br w:val="nil"/>
              <w:tr2bl w:val="nil"/>
            </w:tcBorders>
            <w:tcMar>
              <w:top w:w="0" w:type="dxa"/>
              <w:left w:w="57" w:type="dxa"/>
              <w:bottom w:w="0" w:type="dxa"/>
              <w:right w:w="57" w:type="dxa"/>
            </w:tcMar>
            <w:vAlign w:val="center"/>
          </w:tcPr>
          <w:p>
            <w:pPr>
              <w:pStyle w:val="16"/>
              <w:rPr>
                <w:rFonts w:hint="default"/>
                <w:color w:val="auto"/>
                <w:sz w:val="18"/>
                <w:szCs w:val="18"/>
              </w:rPr>
            </w:pPr>
            <w:r>
              <w:rPr>
                <w:rFonts w:hint="default"/>
                <w:color w:val="auto"/>
                <w:sz w:val="18"/>
                <w:szCs w:val="18"/>
              </w:rPr>
              <w:t>&gt;97</w:t>
            </w:r>
          </w:p>
        </w:tc>
        <w:tc>
          <w:tcPr>
            <w:tcW w:w="896" w:type="dxa"/>
            <w:tcBorders>
              <w:tl2br w:val="nil"/>
              <w:tr2bl w:val="nil"/>
            </w:tcBorders>
            <w:vAlign w:val="center"/>
          </w:tcPr>
          <w:p>
            <w:pPr>
              <w:keepNext w:val="0"/>
              <w:keepLines w:val="0"/>
              <w:pageBreakBefore w:val="0"/>
              <w:widowControl w:val="0"/>
              <w:kinsoku/>
              <w:wordWrap/>
              <w:overflowPunct/>
              <w:topLinePunct/>
              <w:autoSpaceDE w:val="0"/>
              <w:autoSpaceDN w:val="0"/>
              <w:bidi w:val="0"/>
              <w:adjustRightInd w:val="0"/>
              <w:snapToGrid w:val="0"/>
              <w:ind w:firstLine="0" w:firstLineChars="0"/>
              <w:contextualSpacing/>
              <w:jc w:val="center"/>
              <w:textAlignment w:val="auto"/>
              <w:rPr>
                <w:rFonts w:hint="eastAsia" w:ascii="Times New Roman" w:hAnsi="Times New Roman" w:eastAsia="黑体" w:cs="Times New Roman"/>
                <w:color w:val="auto"/>
                <w:sz w:val="18"/>
                <w:szCs w:val="18"/>
                <w:lang w:val="en-US" w:eastAsia="zh-CN"/>
              </w:rPr>
            </w:pPr>
            <w:r>
              <w:rPr>
                <w:rFonts w:hint="eastAsia" w:eastAsia="黑体" w:cs="Times New Roman"/>
                <w:color w:val="auto"/>
                <w:sz w:val="18"/>
                <w:szCs w:val="18"/>
                <w:lang w:val="en-US" w:eastAsia="zh-CN"/>
              </w:rPr>
              <w:t>99.65</w:t>
            </w:r>
          </w:p>
        </w:tc>
        <w:tc>
          <w:tcPr>
            <w:tcW w:w="1433" w:type="dxa"/>
            <w:gridSpan w:val="4"/>
            <w:tcBorders>
              <w:tl2br w:val="nil"/>
              <w:tr2bl w:val="nil"/>
            </w:tcBorders>
            <w:vAlign w:val="center"/>
          </w:tcPr>
          <w:p>
            <w:pPr>
              <w:pStyle w:val="16"/>
              <w:rPr>
                <w:rFonts w:hint="default"/>
                <w:color w:val="auto"/>
                <w:sz w:val="18"/>
                <w:szCs w:val="18"/>
              </w:rPr>
            </w:pPr>
            <w:r>
              <w:rPr>
                <w:rFonts w:hint="default"/>
                <w:color w:val="auto"/>
                <w:sz w:val="18"/>
                <w:szCs w:val="18"/>
              </w:rPr>
              <w:t>防治责任</w:t>
            </w:r>
          </w:p>
          <w:p>
            <w:pPr>
              <w:pStyle w:val="16"/>
              <w:rPr>
                <w:rFonts w:hint="default"/>
                <w:color w:val="auto"/>
                <w:sz w:val="18"/>
                <w:szCs w:val="18"/>
              </w:rPr>
            </w:pPr>
            <w:r>
              <w:rPr>
                <w:rFonts w:hint="default"/>
                <w:color w:val="auto"/>
                <w:sz w:val="18"/>
                <w:szCs w:val="18"/>
              </w:rPr>
              <w:t>范围面积</w:t>
            </w:r>
          </w:p>
        </w:tc>
        <w:tc>
          <w:tcPr>
            <w:tcW w:w="950" w:type="dxa"/>
            <w:gridSpan w:val="2"/>
            <w:tcBorders>
              <w:tl2br w:val="nil"/>
              <w:tr2bl w:val="nil"/>
            </w:tcBorders>
            <w:vAlign w:val="center"/>
          </w:tcPr>
          <w:p>
            <w:pPr>
              <w:pStyle w:val="16"/>
              <w:rPr>
                <w:rFonts w:hint="default"/>
                <w:color w:val="auto"/>
                <w:sz w:val="18"/>
                <w:szCs w:val="18"/>
              </w:rPr>
            </w:pPr>
            <w:r>
              <w:rPr>
                <w:rFonts w:hint="eastAsia"/>
                <w:color w:val="auto"/>
                <w:sz w:val="18"/>
                <w:szCs w:val="18"/>
                <w:lang w:val="en-US" w:eastAsia="zh-CN"/>
              </w:rPr>
              <w:t>64.15</w:t>
            </w:r>
            <w:r>
              <w:rPr>
                <w:rFonts w:hint="default"/>
                <w:color w:val="auto"/>
                <w:sz w:val="18"/>
                <w:szCs w:val="18"/>
              </w:rPr>
              <w:t>hm²</w:t>
            </w:r>
          </w:p>
        </w:tc>
        <w:tc>
          <w:tcPr>
            <w:tcW w:w="1079" w:type="dxa"/>
            <w:gridSpan w:val="2"/>
            <w:tcBorders>
              <w:tl2br w:val="nil"/>
              <w:tr2bl w:val="nil"/>
            </w:tcBorders>
            <w:vAlign w:val="center"/>
          </w:tcPr>
          <w:p>
            <w:pPr>
              <w:pStyle w:val="16"/>
              <w:rPr>
                <w:rFonts w:hint="default"/>
                <w:color w:val="auto"/>
                <w:sz w:val="18"/>
                <w:szCs w:val="18"/>
              </w:rPr>
            </w:pPr>
            <w:r>
              <w:rPr>
                <w:rFonts w:hint="default"/>
                <w:color w:val="auto"/>
                <w:sz w:val="18"/>
                <w:szCs w:val="18"/>
              </w:rPr>
              <w:t>水土流失</w:t>
            </w:r>
          </w:p>
          <w:p>
            <w:pPr>
              <w:pStyle w:val="16"/>
              <w:rPr>
                <w:rFonts w:hint="default"/>
                <w:color w:val="auto"/>
                <w:sz w:val="18"/>
                <w:szCs w:val="18"/>
              </w:rPr>
            </w:pPr>
            <w:r>
              <w:rPr>
                <w:rFonts w:hint="default"/>
                <w:color w:val="auto"/>
                <w:sz w:val="18"/>
                <w:szCs w:val="18"/>
              </w:rPr>
              <w:t>总面积</w:t>
            </w:r>
          </w:p>
        </w:tc>
        <w:tc>
          <w:tcPr>
            <w:tcW w:w="1351" w:type="dxa"/>
            <w:gridSpan w:val="2"/>
            <w:tcBorders>
              <w:tl2br w:val="nil"/>
              <w:tr2bl w:val="nil"/>
            </w:tcBorders>
            <w:vAlign w:val="center"/>
          </w:tcPr>
          <w:p>
            <w:pPr>
              <w:pStyle w:val="16"/>
              <w:rPr>
                <w:rFonts w:hint="default"/>
                <w:color w:val="auto"/>
                <w:sz w:val="18"/>
                <w:szCs w:val="18"/>
              </w:rPr>
            </w:pPr>
            <w:r>
              <w:rPr>
                <w:rFonts w:hint="eastAsia"/>
                <w:color w:val="auto"/>
                <w:sz w:val="18"/>
                <w:szCs w:val="18"/>
                <w:lang w:val="en-US" w:eastAsia="zh-CN"/>
              </w:rPr>
              <w:t>33.81</w:t>
            </w:r>
            <w:r>
              <w:rPr>
                <w:rFonts w:hint="default"/>
                <w:color w:val="auto"/>
                <w:sz w:val="18"/>
                <w:szCs w:val="18"/>
              </w:rPr>
              <w:t xml:space="preserve"> hm²</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90" w:hRule="atLeast"/>
          <w:jc w:val="center"/>
        </w:trPr>
        <w:tc>
          <w:tcPr>
            <w:tcW w:w="460" w:type="dxa"/>
            <w:vMerge w:val="continue"/>
            <w:tcBorders>
              <w:tl2br w:val="nil"/>
              <w:tr2bl w:val="nil"/>
            </w:tcBorders>
            <w:vAlign w:val="center"/>
          </w:tcPr>
          <w:p>
            <w:pPr>
              <w:pStyle w:val="16"/>
              <w:rPr>
                <w:rFonts w:hint="default"/>
                <w:color w:val="auto"/>
                <w:sz w:val="18"/>
                <w:szCs w:val="18"/>
              </w:rPr>
            </w:pPr>
          </w:p>
        </w:tc>
        <w:tc>
          <w:tcPr>
            <w:tcW w:w="460" w:type="dxa"/>
            <w:vMerge w:val="continue"/>
            <w:tcBorders>
              <w:tl2br w:val="nil"/>
              <w:tr2bl w:val="nil"/>
            </w:tcBorders>
            <w:vAlign w:val="center"/>
          </w:tcPr>
          <w:p>
            <w:pPr>
              <w:pStyle w:val="16"/>
              <w:rPr>
                <w:rFonts w:hint="default"/>
                <w:color w:val="auto"/>
                <w:sz w:val="18"/>
                <w:szCs w:val="18"/>
              </w:rPr>
            </w:pPr>
          </w:p>
        </w:tc>
        <w:tc>
          <w:tcPr>
            <w:tcW w:w="896" w:type="dxa"/>
            <w:tcBorders>
              <w:tl2br w:val="nil"/>
              <w:tr2bl w:val="nil"/>
            </w:tcBorders>
            <w:vAlign w:val="center"/>
          </w:tcPr>
          <w:p>
            <w:pPr>
              <w:pStyle w:val="16"/>
              <w:rPr>
                <w:rFonts w:hint="default"/>
                <w:color w:val="auto"/>
                <w:sz w:val="18"/>
                <w:szCs w:val="18"/>
              </w:rPr>
            </w:pPr>
            <w:r>
              <w:rPr>
                <w:rFonts w:hint="default"/>
                <w:color w:val="auto"/>
                <w:sz w:val="18"/>
                <w:szCs w:val="18"/>
              </w:rPr>
              <w:t>土壤流失控制比</w:t>
            </w:r>
          </w:p>
        </w:tc>
        <w:tc>
          <w:tcPr>
            <w:tcW w:w="896" w:type="dxa"/>
            <w:tcBorders>
              <w:tl2br w:val="nil"/>
              <w:tr2bl w:val="nil"/>
            </w:tcBorders>
            <w:tcMar>
              <w:top w:w="0" w:type="dxa"/>
              <w:left w:w="57" w:type="dxa"/>
              <w:bottom w:w="0" w:type="dxa"/>
              <w:right w:w="57" w:type="dxa"/>
            </w:tcMar>
            <w:vAlign w:val="center"/>
          </w:tcPr>
          <w:p>
            <w:pPr>
              <w:pStyle w:val="16"/>
              <w:rPr>
                <w:rFonts w:hint="default"/>
                <w:color w:val="auto"/>
                <w:sz w:val="18"/>
                <w:szCs w:val="18"/>
              </w:rPr>
            </w:pPr>
            <w:r>
              <w:rPr>
                <w:rFonts w:hint="default"/>
                <w:color w:val="auto"/>
                <w:sz w:val="18"/>
                <w:szCs w:val="18"/>
              </w:rPr>
              <w:t>≥1</w:t>
            </w:r>
          </w:p>
        </w:tc>
        <w:tc>
          <w:tcPr>
            <w:tcW w:w="896" w:type="dxa"/>
            <w:tcBorders>
              <w:tl2br w:val="nil"/>
              <w:tr2bl w:val="nil"/>
            </w:tcBorders>
            <w:vAlign w:val="center"/>
          </w:tcPr>
          <w:p>
            <w:pPr>
              <w:keepNext w:val="0"/>
              <w:keepLines w:val="0"/>
              <w:pageBreakBefore w:val="0"/>
              <w:widowControl w:val="0"/>
              <w:kinsoku/>
              <w:wordWrap/>
              <w:overflowPunct/>
              <w:topLinePunct/>
              <w:autoSpaceDE w:val="0"/>
              <w:autoSpaceDN w:val="0"/>
              <w:bidi w:val="0"/>
              <w:adjustRightInd w:val="0"/>
              <w:snapToGrid w:val="0"/>
              <w:ind w:firstLine="0" w:firstLineChars="0"/>
              <w:contextualSpacing/>
              <w:jc w:val="center"/>
              <w:textAlignment w:val="auto"/>
              <w:rPr>
                <w:rFonts w:hint="eastAsia" w:ascii="Times New Roman" w:hAnsi="Times New Roman" w:eastAsia="黑体" w:cs="Times New Roman"/>
                <w:color w:val="auto"/>
                <w:sz w:val="18"/>
                <w:szCs w:val="18"/>
                <w:lang w:val="en-US" w:eastAsia="zh-CN"/>
              </w:rPr>
            </w:pPr>
            <w:r>
              <w:rPr>
                <w:rFonts w:hint="eastAsia" w:eastAsia="黑体" w:cs="Times New Roman"/>
                <w:color w:val="auto"/>
                <w:sz w:val="18"/>
                <w:szCs w:val="18"/>
                <w:lang w:val="en-US" w:eastAsia="zh-CN"/>
              </w:rPr>
              <w:t>1.10</w:t>
            </w:r>
          </w:p>
        </w:tc>
        <w:tc>
          <w:tcPr>
            <w:tcW w:w="1433" w:type="dxa"/>
            <w:gridSpan w:val="4"/>
            <w:tcBorders>
              <w:tl2br w:val="nil"/>
              <w:tr2bl w:val="nil"/>
            </w:tcBorders>
            <w:vAlign w:val="center"/>
          </w:tcPr>
          <w:p>
            <w:pPr>
              <w:pStyle w:val="16"/>
              <w:rPr>
                <w:rFonts w:hint="default"/>
                <w:color w:val="auto"/>
                <w:sz w:val="18"/>
                <w:szCs w:val="18"/>
              </w:rPr>
            </w:pPr>
            <w:r>
              <w:rPr>
                <w:rFonts w:hint="default"/>
                <w:color w:val="auto"/>
                <w:sz w:val="18"/>
                <w:szCs w:val="18"/>
              </w:rPr>
              <w:t>工程措施面积</w:t>
            </w:r>
          </w:p>
        </w:tc>
        <w:tc>
          <w:tcPr>
            <w:tcW w:w="950" w:type="dxa"/>
            <w:gridSpan w:val="2"/>
            <w:tcBorders>
              <w:tl2br w:val="nil"/>
              <w:tr2bl w:val="nil"/>
            </w:tcBorders>
            <w:vAlign w:val="center"/>
          </w:tcPr>
          <w:p>
            <w:pPr>
              <w:pStyle w:val="16"/>
              <w:rPr>
                <w:rFonts w:hint="default"/>
                <w:color w:val="auto"/>
                <w:sz w:val="18"/>
                <w:szCs w:val="18"/>
              </w:rPr>
            </w:pPr>
            <w:r>
              <w:rPr>
                <w:rFonts w:hint="eastAsia"/>
                <w:color w:val="auto"/>
                <w:sz w:val="18"/>
                <w:szCs w:val="18"/>
                <w:lang w:val="en-US" w:eastAsia="zh-CN"/>
              </w:rPr>
              <w:t>10.61</w:t>
            </w:r>
            <w:r>
              <w:rPr>
                <w:rFonts w:hint="default"/>
                <w:color w:val="auto"/>
                <w:sz w:val="18"/>
                <w:szCs w:val="18"/>
              </w:rPr>
              <w:t>hm²</w:t>
            </w:r>
          </w:p>
        </w:tc>
        <w:tc>
          <w:tcPr>
            <w:tcW w:w="1079" w:type="dxa"/>
            <w:gridSpan w:val="2"/>
            <w:tcBorders>
              <w:tl2br w:val="nil"/>
              <w:tr2bl w:val="nil"/>
            </w:tcBorders>
            <w:vAlign w:val="center"/>
          </w:tcPr>
          <w:p>
            <w:pPr>
              <w:pStyle w:val="16"/>
              <w:rPr>
                <w:rFonts w:hint="default"/>
                <w:color w:val="auto"/>
                <w:sz w:val="18"/>
                <w:szCs w:val="18"/>
              </w:rPr>
            </w:pPr>
            <w:r>
              <w:rPr>
                <w:rFonts w:hint="default"/>
                <w:color w:val="auto"/>
                <w:sz w:val="18"/>
                <w:szCs w:val="18"/>
              </w:rPr>
              <w:t>容许土</w:t>
            </w:r>
          </w:p>
          <w:p>
            <w:pPr>
              <w:pStyle w:val="16"/>
              <w:rPr>
                <w:rFonts w:hint="default"/>
                <w:color w:val="auto"/>
                <w:sz w:val="18"/>
                <w:szCs w:val="18"/>
              </w:rPr>
            </w:pPr>
            <w:r>
              <w:rPr>
                <w:rFonts w:hint="default"/>
                <w:color w:val="auto"/>
                <w:sz w:val="18"/>
                <w:szCs w:val="18"/>
              </w:rPr>
              <w:t>壤流失量</w:t>
            </w:r>
          </w:p>
        </w:tc>
        <w:tc>
          <w:tcPr>
            <w:tcW w:w="1351" w:type="dxa"/>
            <w:gridSpan w:val="2"/>
            <w:tcBorders>
              <w:tl2br w:val="nil"/>
              <w:tr2bl w:val="nil"/>
            </w:tcBorders>
            <w:vAlign w:val="center"/>
          </w:tcPr>
          <w:p>
            <w:pPr>
              <w:pStyle w:val="16"/>
              <w:rPr>
                <w:rFonts w:hint="default"/>
                <w:color w:val="auto"/>
                <w:sz w:val="18"/>
                <w:szCs w:val="18"/>
              </w:rPr>
            </w:pPr>
            <w:r>
              <w:rPr>
                <w:rFonts w:hint="default"/>
                <w:color w:val="auto"/>
                <w:sz w:val="18"/>
                <w:szCs w:val="18"/>
              </w:rPr>
              <w:t>500t/k</w:t>
            </w:r>
            <w:r>
              <w:rPr>
                <w:rFonts w:hint="eastAsia"/>
                <w:color w:val="auto"/>
                <w:sz w:val="18"/>
                <w:szCs w:val="18"/>
                <w:lang w:eastAsia="zh-CN"/>
              </w:rPr>
              <w:t>m</w:t>
            </w:r>
            <w:r>
              <w:rPr>
                <w:rFonts w:hint="eastAsia"/>
                <w:color w:val="auto"/>
                <w:sz w:val="18"/>
                <w:szCs w:val="18"/>
                <w:vertAlign w:val="superscript"/>
                <w:lang w:val="en-US" w:eastAsia="zh-CN"/>
              </w:rPr>
              <w:t>2</w:t>
            </w:r>
            <w:r>
              <w:rPr>
                <w:rFonts w:hint="default"/>
                <w:color w:val="auto"/>
                <w:sz w:val="18"/>
                <w:szCs w:val="18"/>
              </w:rPr>
              <w:t>·a</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340" w:hRule="atLeast"/>
          <w:jc w:val="center"/>
        </w:trPr>
        <w:tc>
          <w:tcPr>
            <w:tcW w:w="460" w:type="dxa"/>
            <w:vMerge w:val="continue"/>
            <w:tcBorders>
              <w:tl2br w:val="nil"/>
              <w:tr2bl w:val="nil"/>
            </w:tcBorders>
            <w:vAlign w:val="center"/>
          </w:tcPr>
          <w:p>
            <w:pPr>
              <w:pStyle w:val="16"/>
              <w:rPr>
                <w:rFonts w:hint="default"/>
                <w:color w:val="auto"/>
                <w:sz w:val="18"/>
                <w:szCs w:val="18"/>
              </w:rPr>
            </w:pPr>
          </w:p>
        </w:tc>
        <w:tc>
          <w:tcPr>
            <w:tcW w:w="460" w:type="dxa"/>
            <w:vMerge w:val="continue"/>
            <w:tcBorders>
              <w:tl2br w:val="nil"/>
              <w:tr2bl w:val="nil"/>
            </w:tcBorders>
            <w:vAlign w:val="center"/>
          </w:tcPr>
          <w:p>
            <w:pPr>
              <w:pStyle w:val="16"/>
              <w:rPr>
                <w:rFonts w:hint="default"/>
                <w:color w:val="auto"/>
                <w:sz w:val="18"/>
                <w:szCs w:val="18"/>
              </w:rPr>
            </w:pPr>
          </w:p>
        </w:tc>
        <w:tc>
          <w:tcPr>
            <w:tcW w:w="896" w:type="dxa"/>
            <w:tcBorders>
              <w:tl2br w:val="nil"/>
              <w:tr2bl w:val="nil"/>
            </w:tcBorders>
            <w:vAlign w:val="center"/>
          </w:tcPr>
          <w:p>
            <w:pPr>
              <w:pStyle w:val="16"/>
              <w:rPr>
                <w:rFonts w:hint="default"/>
                <w:color w:val="auto"/>
                <w:sz w:val="18"/>
                <w:szCs w:val="18"/>
              </w:rPr>
            </w:pPr>
            <w:r>
              <w:rPr>
                <w:rFonts w:hint="default"/>
                <w:color w:val="auto"/>
                <w:sz w:val="18"/>
                <w:szCs w:val="18"/>
              </w:rPr>
              <w:t>拦渣率</w:t>
            </w:r>
          </w:p>
        </w:tc>
        <w:tc>
          <w:tcPr>
            <w:tcW w:w="896" w:type="dxa"/>
            <w:tcBorders>
              <w:tl2br w:val="nil"/>
              <w:tr2bl w:val="nil"/>
            </w:tcBorders>
            <w:tcMar>
              <w:top w:w="0" w:type="dxa"/>
              <w:left w:w="57" w:type="dxa"/>
              <w:bottom w:w="0" w:type="dxa"/>
              <w:right w:w="57" w:type="dxa"/>
            </w:tcMar>
            <w:vAlign w:val="center"/>
          </w:tcPr>
          <w:p>
            <w:pPr>
              <w:pStyle w:val="16"/>
              <w:rPr>
                <w:rFonts w:hint="default"/>
                <w:color w:val="auto"/>
                <w:sz w:val="18"/>
                <w:szCs w:val="18"/>
              </w:rPr>
            </w:pPr>
            <w:r>
              <w:rPr>
                <w:rFonts w:hint="default"/>
                <w:color w:val="auto"/>
                <w:sz w:val="18"/>
                <w:szCs w:val="18"/>
              </w:rPr>
              <w:t>&gt;95</w:t>
            </w:r>
          </w:p>
        </w:tc>
        <w:tc>
          <w:tcPr>
            <w:tcW w:w="896" w:type="dxa"/>
            <w:tcBorders>
              <w:tl2br w:val="nil"/>
              <w:tr2bl w:val="nil"/>
            </w:tcBorders>
            <w:vAlign w:val="center"/>
          </w:tcPr>
          <w:p>
            <w:pPr>
              <w:keepNext w:val="0"/>
              <w:keepLines w:val="0"/>
              <w:pageBreakBefore w:val="0"/>
              <w:widowControl w:val="0"/>
              <w:kinsoku/>
              <w:wordWrap/>
              <w:overflowPunct/>
              <w:topLinePunct/>
              <w:autoSpaceDE w:val="0"/>
              <w:autoSpaceDN w:val="0"/>
              <w:bidi w:val="0"/>
              <w:adjustRightInd w:val="0"/>
              <w:snapToGrid w:val="0"/>
              <w:ind w:firstLine="0" w:firstLineChars="0"/>
              <w:contextualSpacing/>
              <w:jc w:val="center"/>
              <w:textAlignment w:val="auto"/>
              <w:rPr>
                <w:rFonts w:hint="default" w:ascii="Times New Roman" w:hAnsi="Times New Roman" w:eastAsia="黑体" w:cs="Times New Roman"/>
                <w:color w:val="auto"/>
                <w:sz w:val="18"/>
                <w:szCs w:val="18"/>
                <w:lang w:val="en-US" w:eastAsia="zh-CN"/>
              </w:rPr>
            </w:pPr>
            <w:r>
              <w:rPr>
                <w:rFonts w:hint="eastAsia" w:eastAsia="黑体" w:cs="Times New Roman"/>
                <w:color w:val="auto"/>
                <w:sz w:val="18"/>
                <w:szCs w:val="18"/>
                <w:lang w:val="en-US" w:eastAsia="zh-CN"/>
              </w:rPr>
              <w:t>99</w:t>
            </w:r>
          </w:p>
        </w:tc>
        <w:tc>
          <w:tcPr>
            <w:tcW w:w="1433" w:type="dxa"/>
            <w:gridSpan w:val="4"/>
            <w:tcBorders>
              <w:tl2br w:val="nil"/>
              <w:tr2bl w:val="nil"/>
            </w:tcBorders>
            <w:vAlign w:val="center"/>
          </w:tcPr>
          <w:p>
            <w:pPr>
              <w:pStyle w:val="16"/>
              <w:rPr>
                <w:rFonts w:hint="default"/>
                <w:color w:val="auto"/>
                <w:sz w:val="18"/>
                <w:szCs w:val="18"/>
              </w:rPr>
            </w:pPr>
            <w:r>
              <w:rPr>
                <w:rFonts w:hint="default"/>
                <w:color w:val="auto"/>
                <w:sz w:val="18"/>
                <w:szCs w:val="18"/>
              </w:rPr>
              <w:t>植物措施面积</w:t>
            </w:r>
          </w:p>
        </w:tc>
        <w:tc>
          <w:tcPr>
            <w:tcW w:w="950" w:type="dxa"/>
            <w:gridSpan w:val="2"/>
            <w:tcBorders>
              <w:tl2br w:val="nil"/>
              <w:tr2bl w:val="nil"/>
            </w:tcBorders>
            <w:vAlign w:val="center"/>
          </w:tcPr>
          <w:p>
            <w:pPr>
              <w:pStyle w:val="16"/>
              <w:rPr>
                <w:rFonts w:hint="default"/>
                <w:color w:val="auto"/>
                <w:sz w:val="18"/>
                <w:szCs w:val="18"/>
              </w:rPr>
            </w:pPr>
            <w:r>
              <w:rPr>
                <w:rFonts w:hint="eastAsia"/>
                <w:color w:val="auto"/>
                <w:sz w:val="18"/>
                <w:szCs w:val="18"/>
                <w:lang w:val="en-US" w:eastAsia="zh-CN"/>
              </w:rPr>
              <w:t>23.08</w:t>
            </w:r>
            <w:r>
              <w:rPr>
                <w:rFonts w:hint="default"/>
                <w:color w:val="auto"/>
                <w:sz w:val="18"/>
                <w:szCs w:val="18"/>
              </w:rPr>
              <w:t>hm²</w:t>
            </w:r>
          </w:p>
        </w:tc>
        <w:tc>
          <w:tcPr>
            <w:tcW w:w="1079" w:type="dxa"/>
            <w:gridSpan w:val="2"/>
            <w:tcBorders>
              <w:tl2br w:val="nil"/>
              <w:tr2bl w:val="nil"/>
            </w:tcBorders>
            <w:vAlign w:val="center"/>
          </w:tcPr>
          <w:p>
            <w:pPr>
              <w:pStyle w:val="16"/>
              <w:rPr>
                <w:rFonts w:hint="default"/>
                <w:color w:val="auto"/>
                <w:sz w:val="18"/>
                <w:szCs w:val="18"/>
              </w:rPr>
            </w:pPr>
            <w:r>
              <w:rPr>
                <w:rFonts w:hint="default"/>
                <w:color w:val="auto"/>
                <w:sz w:val="18"/>
                <w:szCs w:val="18"/>
              </w:rPr>
              <w:t>监测土壤</w:t>
            </w:r>
          </w:p>
          <w:p>
            <w:pPr>
              <w:pStyle w:val="16"/>
              <w:rPr>
                <w:rFonts w:hint="default"/>
                <w:color w:val="auto"/>
                <w:sz w:val="18"/>
                <w:szCs w:val="18"/>
              </w:rPr>
            </w:pPr>
            <w:r>
              <w:rPr>
                <w:rFonts w:hint="default"/>
                <w:color w:val="auto"/>
                <w:sz w:val="18"/>
                <w:szCs w:val="18"/>
              </w:rPr>
              <w:t>流失情况</w:t>
            </w:r>
          </w:p>
        </w:tc>
        <w:tc>
          <w:tcPr>
            <w:tcW w:w="1351" w:type="dxa"/>
            <w:gridSpan w:val="2"/>
            <w:tcBorders>
              <w:tl2br w:val="nil"/>
              <w:tr2bl w:val="nil"/>
            </w:tcBorders>
            <w:vAlign w:val="center"/>
          </w:tcPr>
          <w:p>
            <w:pPr>
              <w:pStyle w:val="16"/>
              <w:rPr>
                <w:rFonts w:hint="default"/>
                <w:color w:val="auto"/>
                <w:sz w:val="18"/>
                <w:szCs w:val="18"/>
              </w:rPr>
            </w:pPr>
            <w:r>
              <w:rPr>
                <w:rFonts w:hint="eastAsia"/>
                <w:color w:val="auto"/>
                <w:sz w:val="18"/>
                <w:szCs w:val="18"/>
                <w:lang w:val="en-US" w:eastAsia="zh-CN"/>
              </w:rPr>
              <w:t>454.18</w:t>
            </w:r>
            <w:r>
              <w:rPr>
                <w:rFonts w:hint="default"/>
                <w:color w:val="auto"/>
                <w:sz w:val="18"/>
                <w:szCs w:val="18"/>
              </w:rPr>
              <w:t>t/k</w:t>
            </w:r>
            <w:r>
              <w:rPr>
                <w:rFonts w:hint="eastAsia"/>
                <w:color w:val="auto"/>
                <w:sz w:val="18"/>
                <w:szCs w:val="18"/>
                <w:lang w:eastAsia="zh-CN"/>
              </w:rPr>
              <w:t>m</w:t>
            </w:r>
            <w:r>
              <w:rPr>
                <w:rFonts w:hint="eastAsia"/>
                <w:color w:val="auto"/>
                <w:sz w:val="18"/>
                <w:szCs w:val="18"/>
                <w:vertAlign w:val="superscript"/>
                <w:lang w:val="en-US" w:eastAsia="zh-CN"/>
              </w:rPr>
              <w:t>2</w:t>
            </w:r>
            <w:r>
              <w:rPr>
                <w:rFonts w:hint="default"/>
                <w:color w:val="auto"/>
                <w:sz w:val="18"/>
                <w:szCs w:val="18"/>
              </w:rPr>
              <w:t>·a</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340" w:hRule="atLeast"/>
          <w:jc w:val="center"/>
        </w:trPr>
        <w:tc>
          <w:tcPr>
            <w:tcW w:w="460" w:type="dxa"/>
            <w:vMerge w:val="continue"/>
            <w:tcBorders>
              <w:tl2br w:val="nil"/>
              <w:tr2bl w:val="nil"/>
            </w:tcBorders>
            <w:vAlign w:val="center"/>
          </w:tcPr>
          <w:p>
            <w:pPr>
              <w:pStyle w:val="16"/>
              <w:rPr>
                <w:rFonts w:hint="default"/>
                <w:color w:val="auto"/>
                <w:sz w:val="18"/>
                <w:szCs w:val="18"/>
              </w:rPr>
            </w:pPr>
          </w:p>
        </w:tc>
        <w:tc>
          <w:tcPr>
            <w:tcW w:w="460" w:type="dxa"/>
            <w:vMerge w:val="continue"/>
            <w:tcBorders>
              <w:tl2br w:val="nil"/>
              <w:tr2bl w:val="nil"/>
            </w:tcBorders>
            <w:vAlign w:val="center"/>
          </w:tcPr>
          <w:p>
            <w:pPr>
              <w:pStyle w:val="16"/>
              <w:rPr>
                <w:rFonts w:hint="default"/>
                <w:color w:val="auto"/>
                <w:sz w:val="18"/>
                <w:szCs w:val="18"/>
              </w:rPr>
            </w:pPr>
          </w:p>
        </w:tc>
        <w:tc>
          <w:tcPr>
            <w:tcW w:w="896" w:type="dxa"/>
            <w:tcBorders>
              <w:tl2br w:val="nil"/>
              <w:tr2bl w:val="nil"/>
            </w:tcBorders>
            <w:vAlign w:val="center"/>
          </w:tcPr>
          <w:p>
            <w:pPr>
              <w:pStyle w:val="16"/>
              <w:rPr>
                <w:rFonts w:hint="default"/>
                <w:color w:val="auto"/>
                <w:sz w:val="18"/>
                <w:szCs w:val="18"/>
              </w:rPr>
            </w:pPr>
            <w:r>
              <w:rPr>
                <w:rFonts w:hint="default"/>
                <w:color w:val="auto"/>
                <w:sz w:val="18"/>
                <w:szCs w:val="18"/>
              </w:rPr>
              <w:t>林草植被恢复率</w:t>
            </w:r>
          </w:p>
        </w:tc>
        <w:tc>
          <w:tcPr>
            <w:tcW w:w="896" w:type="dxa"/>
            <w:tcBorders>
              <w:tl2br w:val="nil"/>
              <w:tr2bl w:val="nil"/>
            </w:tcBorders>
            <w:tcMar>
              <w:top w:w="0" w:type="dxa"/>
              <w:left w:w="57" w:type="dxa"/>
              <w:bottom w:w="0" w:type="dxa"/>
              <w:right w:w="57" w:type="dxa"/>
            </w:tcMar>
            <w:vAlign w:val="center"/>
          </w:tcPr>
          <w:p>
            <w:pPr>
              <w:pStyle w:val="16"/>
              <w:rPr>
                <w:rFonts w:hint="default"/>
                <w:color w:val="auto"/>
                <w:sz w:val="18"/>
                <w:szCs w:val="18"/>
              </w:rPr>
            </w:pPr>
            <w:r>
              <w:rPr>
                <w:rFonts w:hint="default"/>
                <w:color w:val="auto"/>
                <w:sz w:val="18"/>
                <w:szCs w:val="18"/>
              </w:rPr>
              <w:t>&gt;99</w:t>
            </w:r>
          </w:p>
        </w:tc>
        <w:tc>
          <w:tcPr>
            <w:tcW w:w="896" w:type="dxa"/>
            <w:tcBorders>
              <w:tl2br w:val="nil"/>
              <w:tr2bl w:val="nil"/>
            </w:tcBorders>
            <w:vAlign w:val="center"/>
          </w:tcPr>
          <w:p>
            <w:pPr>
              <w:keepNext w:val="0"/>
              <w:keepLines w:val="0"/>
              <w:pageBreakBefore w:val="0"/>
              <w:widowControl w:val="0"/>
              <w:kinsoku/>
              <w:wordWrap/>
              <w:overflowPunct/>
              <w:topLinePunct/>
              <w:autoSpaceDE w:val="0"/>
              <w:autoSpaceDN w:val="0"/>
              <w:bidi w:val="0"/>
              <w:adjustRightInd w:val="0"/>
              <w:snapToGrid w:val="0"/>
              <w:ind w:firstLine="0" w:firstLineChars="0"/>
              <w:contextualSpacing/>
              <w:jc w:val="center"/>
              <w:textAlignment w:val="auto"/>
              <w:rPr>
                <w:rFonts w:hint="eastAsia" w:ascii="Times New Roman" w:hAnsi="Times New Roman" w:eastAsia="黑体" w:cs="Times New Roman"/>
                <w:color w:val="auto"/>
                <w:sz w:val="18"/>
                <w:szCs w:val="18"/>
                <w:lang w:val="en-US" w:eastAsia="zh-CN"/>
              </w:rPr>
            </w:pPr>
            <w:r>
              <w:rPr>
                <w:rFonts w:hint="eastAsia" w:eastAsia="黑体" w:cs="Times New Roman"/>
                <w:color w:val="auto"/>
                <w:sz w:val="18"/>
                <w:szCs w:val="18"/>
                <w:lang w:val="en-US" w:eastAsia="zh-CN"/>
              </w:rPr>
              <w:t>99.48</w:t>
            </w:r>
          </w:p>
        </w:tc>
        <w:tc>
          <w:tcPr>
            <w:tcW w:w="1433" w:type="dxa"/>
            <w:gridSpan w:val="4"/>
            <w:tcBorders>
              <w:tl2br w:val="nil"/>
              <w:tr2bl w:val="nil"/>
            </w:tcBorders>
            <w:vAlign w:val="center"/>
          </w:tcPr>
          <w:p>
            <w:pPr>
              <w:pStyle w:val="16"/>
              <w:rPr>
                <w:rFonts w:hint="default"/>
                <w:color w:val="auto"/>
                <w:sz w:val="18"/>
                <w:szCs w:val="18"/>
              </w:rPr>
            </w:pPr>
            <w:r>
              <w:rPr>
                <w:rFonts w:hint="default"/>
                <w:color w:val="auto"/>
                <w:sz w:val="18"/>
                <w:szCs w:val="18"/>
              </w:rPr>
              <w:t>可恢复林草植被面积</w:t>
            </w:r>
          </w:p>
        </w:tc>
        <w:tc>
          <w:tcPr>
            <w:tcW w:w="950" w:type="dxa"/>
            <w:gridSpan w:val="2"/>
            <w:tcBorders>
              <w:tl2br w:val="nil"/>
              <w:tr2bl w:val="nil"/>
            </w:tcBorders>
            <w:vAlign w:val="center"/>
          </w:tcPr>
          <w:p>
            <w:pPr>
              <w:pStyle w:val="16"/>
              <w:rPr>
                <w:rFonts w:hint="default"/>
                <w:color w:val="auto"/>
                <w:sz w:val="18"/>
                <w:szCs w:val="18"/>
              </w:rPr>
            </w:pPr>
            <w:r>
              <w:rPr>
                <w:rFonts w:hint="eastAsia"/>
                <w:color w:val="auto"/>
                <w:sz w:val="18"/>
                <w:szCs w:val="18"/>
                <w:lang w:val="en-US" w:eastAsia="zh-CN"/>
              </w:rPr>
              <w:t>23.20</w:t>
            </w:r>
            <w:r>
              <w:rPr>
                <w:rFonts w:hint="default"/>
                <w:color w:val="auto"/>
                <w:sz w:val="18"/>
                <w:szCs w:val="18"/>
              </w:rPr>
              <w:t>hm²</w:t>
            </w:r>
          </w:p>
        </w:tc>
        <w:tc>
          <w:tcPr>
            <w:tcW w:w="1079" w:type="dxa"/>
            <w:gridSpan w:val="2"/>
            <w:tcBorders>
              <w:tl2br w:val="nil"/>
              <w:tr2bl w:val="nil"/>
            </w:tcBorders>
            <w:vAlign w:val="center"/>
          </w:tcPr>
          <w:p>
            <w:pPr>
              <w:pStyle w:val="16"/>
              <w:rPr>
                <w:rFonts w:hint="default"/>
                <w:color w:val="auto"/>
                <w:sz w:val="18"/>
                <w:szCs w:val="18"/>
              </w:rPr>
            </w:pPr>
            <w:r>
              <w:rPr>
                <w:rFonts w:hint="default"/>
                <w:color w:val="auto"/>
                <w:sz w:val="18"/>
                <w:szCs w:val="18"/>
              </w:rPr>
              <w:t>林草类</w:t>
            </w:r>
          </w:p>
          <w:p>
            <w:pPr>
              <w:pStyle w:val="16"/>
              <w:rPr>
                <w:rFonts w:hint="default"/>
                <w:color w:val="auto"/>
                <w:sz w:val="18"/>
                <w:szCs w:val="18"/>
              </w:rPr>
            </w:pPr>
            <w:r>
              <w:rPr>
                <w:rFonts w:hint="default"/>
                <w:color w:val="auto"/>
                <w:sz w:val="18"/>
                <w:szCs w:val="18"/>
              </w:rPr>
              <w:t>植被面积</w:t>
            </w:r>
          </w:p>
        </w:tc>
        <w:tc>
          <w:tcPr>
            <w:tcW w:w="1351" w:type="dxa"/>
            <w:gridSpan w:val="2"/>
            <w:tcBorders>
              <w:tl2br w:val="nil"/>
              <w:tr2bl w:val="nil"/>
            </w:tcBorders>
            <w:vAlign w:val="center"/>
          </w:tcPr>
          <w:p>
            <w:pPr>
              <w:pStyle w:val="16"/>
              <w:rPr>
                <w:rFonts w:hint="default"/>
                <w:color w:val="auto"/>
                <w:sz w:val="18"/>
                <w:szCs w:val="18"/>
              </w:rPr>
            </w:pPr>
            <w:r>
              <w:rPr>
                <w:rFonts w:hint="eastAsia"/>
                <w:color w:val="auto"/>
                <w:sz w:val="18"/>
                <w:szCs w:val="18"/>
                <w:lang w:val="en-US" w:eastAsia="zh-CN"/>
              </w:rPr>
              <w:t>23.08</w:t>
            </w:r>
            <w:r>
              <w:rPr>
                <w:rFonts w:hint="default"/>
                <w:color w:val="auto"/>
                <w:sz w:val="18"/>
                <w:szCs w:val="18"/>
              </w:rPr>
              <w:t>hm²</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340" w:hRule="atLeast"/>
          <w:jc w:val="center"/>
        </w:trPr>
        <w:tc>
          <w:tcPr>
            <w:tcW w:w="460" w:type="dxa"/>
            <w:vMerge w:val="continue"/>
            <w:tcBorders>
              <w:tl2br w:val="nil"/>
              <w:tr2bl w:val="nil"/>
            </w:tcBorders>
            <w:vAlign w:val="center"/>
          </w:tcPr>
          <w:p>
            <w:pPr>
              <w:pStyle w:val="16"/>
              <w:rPr>
                <w:rFonts w:hint="default"/>
                <w:color w:val="auto"/>
                <w:sz w:val="18"/>
                <w:szCs w:val="18"/>
              </w:rPr>
            </w:pPr>
          </w:p>
        </w:tc>
        <w:tc>
          <w:tcPr>
            <w:tcW w:w="460" w:type="dxa"/>
            <w:vMerge w:val="continue"/>
            <w:tcBorders>
              <w:tl2br w:val="nil"/>
              <w:tr2bl w:val="nil"/>
            </w:tcBorders>
            <w:vAlign w:val="center"/>
          </w:tcPr>
          <w:p>
            <w:pPr>
              <w:pStyle w:val="16"/>
              <w:rPr>
                <w:rFonts w:hint="default"/>
                <w:color w:val="auto"/>
                <w:sz w:val="18"/>
                <w:szCs w:val="18"/>
              </w:rPr>
            </w:pPr>
          </w:p>
        </w:tc>
        <w:tc>
          <w:tcPr>
            <w:tcW w:w="896" w:type="dxa"/>
            <w:tcBorders>
              <w:tl2br w:val="nil"/>
              <w:tr2bl w:val="nil"/>
            </w:tcBorders>
            <w:vAlign w:val="center"/>
          </w:tcPr>
          <w:p>
            <w:pPr>
              <w:pStyle w:val="16"/>
              <w:rPr>
                <w:rFonts w:hint="default"/>
                <w:color w:val="auto"/>
                <w:sz w:val="18"/>
                <w:szCs w:val="18"/>
              </w:rPr>
            </w:pPr>
            <w:r>
              <w:rPr>
                <w:rFonts w:hint="default"/>
                <w:color w:val="auto"/>
                <w:sz w:val="18"/>
                <w:szCs w:val="18"/>
              </w:rPr>
              <w:t>林草覆盖率</w:t>
            </w:r>
          </w:p>
        </w:tc>
        <w:tc>
          <w:tcPr>
            <w:tcW w:w="896" w:type="dxa"/>
            <w:tcBorders>
              <w:tl2br w:val="nil"/>
              <w:tr2bl w:val="nil"/>
            </w:tcBorders>
            <w:tcMar>
              <w:top w:w="0" w:type="dxa"/>
              <w:left w:w="57" w:type="dxa"/>
              <w:bottom w:w="0" w:type="dxa"/>
              <w:right w:w="57" w:type="dxa"/>
            </w:tcMar>
            <w:vAlign w:val="center"/>
          </w:tcPr>
          <w:p>
            <w:pPr>
              <w:pStyle w:val="16"/>
              <w:rPr>
                <w:rFonts w:hint="default"/>
                <w:color w:val="auto"/>
                <w:sz w:val="18"/>
                <w:szCs w:val="18"/>
              </w:rPr>
            </w:pPr>
            <w:r>
              <w:rPr>
                <w:rFonts w:hint="default"/>
                <w:color w:val="auto"/>
                <w:sz w:val="18"/>
                <w:szCs w:val="18"/>
              </w:rPr>
              <w:t>&gt;27</w:t>
            </w:r>
          </w:p>
        </w:tc>
        <w:tc>
          <w:tcPr>
            <w:tcW w:w="896" w:type="dxa"/>
            <w:tcBorders>
              <w:tl2br w:val="nil"/>
              <w:tr2bl w:val="nil"/>
            </w:tcBorders>
            <w:vAlign w:val="center"/>
          </w:tcPr>
          <w:p>
            <w:pPr>
              <w:keepNext w:val="0"/>
              <w:keepLines w:val="0"/>
              <w:pageBreakBefore w:val="0"/>
              <w:widowControl w:val="0"/>
              <w:kinsoku/>
              <w:wordWrap/>
              <w:overflowPunct/>
              <w:topLinePunct/>
              <w:autoSpaceDE w:val="0"/>
              <w:autoSpaceDN w:val="0"/>
              <w:bidi w:val="0"/>
              <w:adjustRightInd w:val="0"/>
              <w:snapToGrid w:val="0"/>
              <w:ind w:firstLine="0" w:firstLineChars="0"/>
              <w:contextualSpacing/>
              <w:jc w:val="center"/>
              <w:textAlignment w:val="auto"/>
              <w:rPr>
                <w:rFonts w:hint="eastAsia" w:ascii="Times New Roman" w:hAnsi="Times New Roman" w:eastAsia="黑体" w:cs="Times New Roman"/>
                <w:color w:val="auto"/>
                <w:sz w:val="18"/>
                <w:szCs w:val="18"/>
                <w:lang w:val="en-US" w:eastAsia="zh-CN"/>
              </w:rPr>
            </w:pPr>
            <w:r>
              <w:rPr>
                <w:rFonts w:hint="eastAsia" w:eastAsia="黑体" w:cs="Times New Roman"/>
                <w:color w:val="auto"/>
                <w:sz w:val="18"/>
                <w:szCs w:val="18"/>
                <w:lang w:val="en-US" w:eastAsia="zh-CN"/>
              </w:rPr>
              <w:t>35.98</w:t>
            </w:r>
          </w:p>
        </w:tc>
        <w:tc>
          <w:tcPr>
            <w:tcW w:w="1433" w:type="dxa"/>
            <w:gridSpan w:val="4"/>
            <w:tcBorders>
              <w:tl2br w:val="nil"/>
              <w:tr2bl w:val="nil"/>
            </w:tcBorders>
            <w:vAlign w:val="center"/>
          </w:tcPr>
          <w:p>
            <w:pPr>
              <w:pStyle w:val="16"/>
              <w:rPr>
                <w:rFonts w:hint="default"/>
                <w:color w:val="auto"/>
                <w:sz w:val="18"/>
                <w:szCs w:val="18"/>
              </w:rPr>
            </w:pPr>
            <w:r>
              <w:rPr>
                <w:rFonts w:hint="default"/>
                <w:color w:val="auto"/>
                <w:sz w:val="18"/>
                <w:szCs w:val="18"/>
              </w:rPr>
              <w:t>实际拦挡弃土（石、渣）量</w:t>
            </w:r>
          </w:p>
        </w:tc>
        <w:tc>
          <w:tcPr>
            <w:tcW w:w="950" w:type="dxa"/>
            <w:gridSpan w:val="2"/>
            <w:tcBorders>
              <w:tl2br w:val="nil"/>
              <w:tr2bl w:val="nil"/>
            </w:tcBorders>
            <w:vAlign w:val="center"/>
          </w:tcPr>
          <w:p>
            <w:pPr>
              <w:pStyle w:val="16"/>
              <w:rPr>
                <w:rFonts w:hint="default"/>
                <w:color w:val="auto"/>
                <w:sz w:val="18"/>
                <w:szCs w:val="18"/>
              </w:rPr>
            </w:pPr>
            <w:r>
              <w:rPr>
                <w:rFonts w:hint="eastAsia"/>
                <w:color w:val="auto"/>
                <w:sz w:val="18"/>
                <w:szCs w:val="18"/>
                <w:lang w:val="en-US" w:eastAsia="zh-CN"/>
              </w:rPr>
              <w:t>32.30</w:t>
            </w:r>
            <w:r>
              <w:rPr>
                <w:rFonts w:hint="default"/>
                <w:color w:val="auto"/>
                <w:sz w:val="18"/>
                <w:szCs w:val="18"/>
              </w:rPr>
              <w:t>万m³</w:t>
            </w:r>
          </w:p>
        </w:tc>
        <w:tc>
          <w:tcPr>
            <w:tcW w:w="1079" w:type="dxa"/>
            <w:gridSpan w:val="2"/>
            <w:tcBorders>
              <w:tl2br w:val="nil"/>
              <w:tr2bl w:val="nil"/>
            </w:tcBorders>
            <w:vAlign w:val="center"/>
          </w:tcPr>
          <w:p>
            <w:pPr>
              <w:pStyle w:val="16"/>
              <w:rPr>
                <w:rFonts w:hint="default"/>
                <w:color w:val="auto"/>
                <w:sz w:val="18"/>
                <w:szCs w:val="18"/>
              </w:rPr>
            </w:pPr>
            <w:r>
              <w:rPr>
                <w:rFonts w:hint="default"/>
                <w:color w:val="auto"/>
                <w:sz w:val="18"/>
                <w:szCs w:val="18"/>
              </w:rPr>
              <w:t>总弃土（石、渣）量</w:t>
            </w:r>
          </w:p>
        </w:tc>
        <w:tc>
          <w:tcPr>
            <w:tcW w:w="1351" w:type="dxa"/>
            <w:gridSpan w:val="2"/>
            <w:tcBorders>
              <w:tl2br w:val="nil"/>
              <w:tr2bl w:val="nil"/>
            </w:tcBorders>
            <w:vAlign w:val="center"/>
          </w:tcPr>
          <w:p>
            <w:pPr>
              <w:pStyle w:val="16"/>
              <w:rPr>
                <w:rFonts w:hint="default"/>
                <w:color w:val="auto"/>
                <w:sz w:val="18"/>
                <w:szCs w:val="18"/>
              </w:rPr>
            </w:pPr>
            <w:r>
              <w:rPr>
                <w:rFonts w:hint="eastAsia"/>
                <w:color w:val="auto"/>
                <w:sz w:val="18"/>
                <w:szCs w:val="18"/>
                <w:lang w:val="en-US" w:eastAsia="zh-CN"/>
              </w:rPr>
              <w:t>32.30</w:t>
            </w:r>
            <w:r>
              <w:rPr>
                <w:rFonts w:hint="default"/>
                <w:color w:val="auto"/>
                <w:sz w:val="18"/>
                <w:szCs w:val="18"/>
              </w:rPr>
              <w:t>万m³</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340" w:hRule="atLeast"/>
          <w:jc w:val="center"/>
        </w:trPr>
        <w:tc>
          <w:tcPr>
            <w:tcW w:w="460" w:type="dxa"/>
            <w:vMerge w:val="continue"/>
            <w:tcBorders>
              <w:tl2br w:val="nil"/>
              <w:tr2bl w:val="nil"/>
            </w:tcBorders>
            <w:vAlign w:val="center"/>
          </w:tcPr>
          <w:p>
            <w:pPr>
              <w:pStyle w:val="16"/>
              <w:rPr>
                <w:rFonts w:hint="default"/>
                <w:color w:val="auto"/>
                <w:sz w:val="18"/>
                <w:szCs w:val="18"/>
              </w:rPr>
            </w:pPr>
          </w:p>
        </w:tc>
        <w:tc>
          <w:tcPr>
            <w:tcW w:w="1356" w:type="dxa"/>
            <w:gridSpan w:val="2"/>
            <w:tcBorders>
              <w:tl2br w:val="nil"/>
              <w:tr2bl w:val="nil"/>
            </w:tcBorders>
            <w:vAlign w:val="center"/>
          </w:tcPr>
          <w:p>
            <w:pPr>
              <w:pStyle w:val="16"/>
              <w:rPr>
                <w:rFonts w:hint="default"/>
                <w:color w:val="auto"/>
                <w:sz w:val="18"/>
                <w:szCs w:val="18"/>
              </w:rPr>
            </w:pPr>
            <w:r>
              <w:rPr>
                <w:rFonts w:hint="default"/>
                <w:color w:val="auto"/>
                <w:sz w:val="18"/>
                <w:szCs w:val="18"/>
              </w:rPr>
              <w:t>水土保持治理达标评价</w:t>
            </w:r>
          </w:p>
        </w:tc>
        <w:tc>
          <w:tcPr>
            <w:tcW w:w="6605" w:type="dxa"/>
            <w:gridSpan w:val="12"/>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360" w:firstLineChars="200"/>
              <w:jc w:val="left"/>
              <w:textAlignment w:val="auto"/>
              <w:outlineLvl w:val="9"/>
              <w:rPr>
                <w:rFonts w:hint="default"/>
                <w:color w:val="auto"/>
                <w:sz w:val="18"/>
                <w:szCs w:val="18"/>
              </w:rPr>
            </w:pPr>
            <w:r>
              <w:rPr>
                <w:rFonts w:hint="default"/>
                <w:color w:val="auto"/>
                <w:sz w:val="18"/>
                <w:szCs w:val="18"/>
              </w:rPr>
              <w:t>截止至20</w:t>
            </w:r>
            <w:r>
              <w:rPr>
                <w:rFonts w:hint="eastAsia"/>
                <w:color w:val="auto"/>
                <w:sz w:val="18"/>
                <w:szCs w:val="18"/>
                <w:lang w:val="en-US" w:eastAsia="zh-CN"/>
              </w:rPr>
              <w:t>20</w:t>
            </w:r>
            <w:r>
              <w:rPr>
                <w:rFonts w:hint="default"/>
                <w:color w:val="auto"/>
                <w:sz w:val="18"/>
                <w:szCs w:val="18"/>
              </w:rPr>
              <w:t>年</w:t>
            </w:r>
            <w:r>
              <w:rPr>
                <w:rFonts w:hint="eastAsia"/>
                <w:color w:val="auto"/>
                <w:sz w:val="18"/>
                <w:szCs w:val="18"/>
                <w:lang w:val="en-US" w:eastAsia="zh-CN"/>
              </w:rPr>
              <w:t>10</w:t>
            </w:r>
            <w:r>
              <w:rPr>
                <w:rFonts w:hint="default"/>
                <w:color w:val="auto"/>
                <w:sz w:val="18"/>
                <w:szCs w:val="18"/>
              </w:rPr>
              <w:t>月，六项指标</w:t>
            </w:r>
            <w:r>
              <w:rPr>
                <w:rFonts w:hint="eastAsia"/>
                <w:color w:val="auto"/>
                <w:sz w:val="18"/>
                <w:szCs w:val="18"/>
                <w:lang w:eastAsia="zh-CN"/>
              </w:rPr>
              <w:t>全部</w:t>
            </w:r>
            <w:r>
              <w:rPr>
                <w:rFonts w:hint="default"/>
                <w:color w:val="auto"/>
                <w:sz w:val="18"/>
                <w:szCs w:val="18"/>
              </w:rPr>
              <w:t>达到并超过《开发建设项目水土流失防治标准》（GB50434-2008）中建设类一级标准目标值。</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340" w:hRule="atLeast"/>
          <w:jc w:val="center"/>
        </w:trPr>
        <w:tc>
          <w:tcPr>
            <w:tcW w:w="460" w:type="dxa"/>
            <w:vMerge w:val="continue"/>
            <w:tcBorders>
              <w:tl2br w:val="nil"/>
              <w:tr2bl w:val="nil"/>
            </w:tcBorders>
            <w:vAlign w:val="center"/>
          </w:tcPr>
          <w:p>
            <w:pPr>
              <w:pStyle w:val="16"/>
              <w:rPr>
                <w:rFonts w:hint="default"/>
                <w:color w:val="auto"/>
                <w:sz w:val="18"/>
                <w:szCs w:val="18"/>
              </w:rPr>
            </w:pPr>
          </w:p>
        </w:tc>
        <w:tc>
          <w:tcPr>
            <w:tcW w:w="1356" w:type="dxa"/>
            <w:gridSpan w:val="2"/>
            <w:tcBorders>
              <w:tl2br w:val="nil"/>
              <w:tr2bl w:val="nil"/>
            </w:tcBorders>
            <w:vAlign w:val="center"/>
          </w:tcPr>
          <w:p>
            <w:pPr>
              <w:pStyle w:val="16"/>
              <w:rPr>
                <w:rFonts w:hint="default"/>
                <w:color w:val="auto"/>
                <w:sz w:val="18"/>
                <w:szCs w:val="18"/>
              </w:rPr>
            </w:pPr>
            <w:r>
              <w:rPr>
                <w:rFonts w:hint="default"/>
                <w:color w:val="auto"/>
                <w:sz w:val="18"/>
                <w:szCs w:val="18"/>
              </w:rPr>
              <w:t>总体结论</w:t>
            </w:r>
          </w:p>
        </w:tc>
        <w:tc>
          <w:tcPr>
            <w:tcW w:w="6605" w:type="dxa"/>
            <w:gridSpan w:val="12"/>
            <w:tcBorders>
              <w:tl2br w:val="nil"/>
              <w:tr2bl w:val="nil"/>
            </w:tcBorders>
            <w:tcMar>
              <w:top w:w="0" w:type="dxa"/>
              <w:left w:w="57" w:type="dxa"/>
              <w:bottom w:w="0" w:type="dxa"/>
              <w:right w:w="57" w:type="dxa"/>
            </w:tcMar>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360" w:firstLineChars="200"/>
              <w:jc w:val="left"/>
              <w:textAlignment w:val="auto"/>
              <w:outlineLvl w:val="9"/>
              <w:rPr>
                <w:rFonts w:hint="default"/>
                <w:color w:val="auto"/>
                <w:sz w:val="18"/>
                <w:szCs w:val="18"/>
              </w:rPr>
            </w:pPr>
            <w:r>
              <w:rPr>
                <w:rFonts w:hint="default"/>
                <w:color w:val="auto"/>
                <w:sz w:val="18"/>
                <w:szCs w:val="18"/>
              </w:rPr>
              <w:t>水土保持措施的总体布局较为合理，防治效果明显，有效地减少了项目建设过程中造成的水土流失，基本达到了</w:t>
            </w:r>
            <w:r>
              <w:rPr>
                <w:rFonts w:hint="default"/>
                <w:color w:val="auto"/>
                <w:sz w:val="18"/>
                <w:szCs w:val="18"/>
                <w:lang w:eastAsia="zh-CN"/>
              </w:rPr>
              <w:t>《</w:t>
            </w:r>
            <w:r>
              <w:rPr>
                <w:rFonts w:hint="eastAsia"/>
                <w:color w:val="auto"/>
                <w:sz w:val="18"/>
                <w:szCs w:val="18"/>
                <w:lang w:eastAsia="zh-CN"/>
              </w:rPr>
              <w:t>G320线普安江西坡至三板桥段改扩建工程</w:t>
            </w:r>
            <w:r>
              <w:rPr>
                <w:rFonts w:hint="default"/>
                <w:color w:val="auto"/>
                <w:sz w:val="18"/>
                <w:szCs w:val="18"/>
                <w:lang w:eastAsia="zh-CN"/>
              </w:rPr>
              <w:t>水土保持方案报告书》（报批稿）</w:t>
            </w:r>
            <w:r>
              <w:rPr>
                <w:rFonts w:hint="default"/>
                <w:color w:val="auto"/>
                <w:sz w:val="18"/>
                <w:szCs w:val="18"/>
              </w:rPr>
              <w:t>的设计要求。</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68" w:type="dxa"/>
            <w:bottom w:w="0" w:type="dxa"/>
            <w:right w:w="68" w:type="dxa"/>
          </w:tblCellMar>
        </w:tblPrEx>
        <w:trPr>
          <w:cantSplit/>
          <w:trHeight w:val="340" w:hRule="atLeast"/>
          <w:jc w:val="center"/>
        </w:trPr>
        <w:tc>
          <w:tcPr>
            <w:tcW w:w="1816" w:type="dxa"/>
            <w:gridSpan w:val="3"/>
            <w:tcBorders>
              <w:tl2br w:val="nil"/>
              <w:tr2bl w:val="nil"/>
            </w:tcBorders>
            <w:vAlign w:val="center"/>
          </w:tcPr>
          <w:p>
            <w:pPr>
              <w:pStyle w:val="16"/>
              <w:rPr>
                <w:rFonts w:hint="default"/>
                <w:color w:val="auto"/>
                <w:sz w:val="18"/>
                <w:szCs w:val="18"/>
              </w:rPr>
            </w:pPr>
            <w:r>
              <w:rPr>
                <w:rFonts w:hint="default"/>
                <w:color w:val="auto"/>
                <w:sz w:val="18"/>
                <w:szCs w:val="18"/>
              </w:rPr>
              <w:t>主要建议</w:t>
            </w:r>
          </w:p>
        </w:tc>
        <w:tc>
          <w:tcPr>
            <w:tcW w:w="6605" w:type="dxa"/>
            <w:gridSpan w:val="12"/>
            <w:tcBorders>
              <w:tl2br w:val="nil"/>
              <w:tr2bl w:val="nil"/>
            </w:tcBorders>
            <w:tcMar>
              <w:top w:w="0" w:type="dxa"/>
              <w:left w:w="57" w:type="dxa"/>
              <w:bottom w:w="0" w:type="dxa"/>
              <w:right w:w="57" w:type="dxa"/>
            </w:tcMar>
            <w:vAlign w:val="center"/>
          </w:tcPr>
          <w:p>
            <w:pPr>
              <w:pStyle w:val="16"/>
              <w:jc w:val="left"/>
              <w:rPr>
                <w:rFonts w:hint="default"/>
                <w:color w:val="auto"/>
                <w:sz w:val="18"/>
                <w:szCs w:val="18"/>
              </w:rPr>
            </w:pPr>
            <w:r>
              <w:rPr>
                <w:rFonts w:hint="default"/>
                <w:color w:val="auto"/>
                <w:sz w:val="18"/>
                <w:szCs w:val="18"/>
              </w:rPr>
              <w:t>（1）相对于主体工程建设进度而言，相当一部分水土保持措施实施 进度相对滞后，离水土保持“三同时”制度要求还有一定差距，建议建设单位在以后的工程建设活动中认真落实水土保持“三同时”制度，做好项目 建设过程中的水土流失防治工作。</w:t>
            </w:r>
          </w:p>
          <w:p>
            <w:pPr>
              <w:pStyle w:val="16"/>
              <w:jc w:val="left"/>
              <w:rPr>
                <w:rFonts w:hint="eastAsia"/>
                <w:color w:val="auto"/>
                <w:sz w:val="18"/>
                <w:szCs w:val="18"/>
                <w:lang w:eastAsia="zh-CN"/>
              </w:rPr>
            </w:pPr>
            <w:r>
              <w:rPr>
                <w:rFonts w:hint="default"/>
                <w:color w:val="auto"/>
                <w:sz w:val="18"/>
                <w:szCs w:val="18"/>
              </w:rPr>
              <w:t>（2）</w:t>
            </w:r>
            <w:r>
              <w:rPr>
                <w:rFonts w:hint="eastAsia"/>
                <w:color w:val="auto"/>
                <w:sz w:val="18"/>
                <w:szCs w:val="18"/>
                <w:lang w:eastAsia="zh-CN"/>
              </w:rPr>
              <w:t>本项目料场区域仍存在一定面积的裸露，部分地区植被长势较差，建议建设单位对裸露区域及时进行植被恢复，对长势不好的区域进行补植，以减少水土流失；</w:t>
            </w:r>
          </w:p>
          <w:p>
            <w:pPr>
              <w:pStyle w:val="16"/>
              <w:jc w:val="left"/>
              <w:rPr>
                <w:rFonts w:hint="default"/>
                <w:color w:val="auto"/>
                <w:sz w:val="18"/>
                <w:szCs w:val="18"/>
                <w:lang w:eastAsia="zh-CN"/>
              </w:rPr>
            </w:pPr>
            <w:r>
              <w:rPr>
                <w:rFonts w:hint="eastAsia"/>
                <w:color w:val="auto"/>
                <w:sz w:val="18"/>
                <w:szCs w:val="18"/>
                <w:lang w:eastAsia="zh-CN"/>
              </w:rPr>
              <w:t>（</w:t>
            </w:r>
            <w:r>
              <w:rPr>
                <w:rFonts w:hint="eastAsia"/>
                <w:color w:val="auto"/>
                <w:sz w:val="18"/>
                <w:szCs w:val="18"/>
                <w:lang w:val="en-US" w:eastAsia="zh-CN"/>
              </w:rPr>
              <w:t>3</w:t>
            </w:r>
            <w:r>
              <w:rPr>
                <w:rFonts w:hint="eastAsia"/>
                <w:color w:val="auto"/>
                <w:sz w:val="18"/>
                <w:szCs w:val="18"/>
                <w:lang w:eastAsia="zh-CN"/>
              </w:rPr>
              <w:t>）</w:t>
            </w:r>
            <w:r>
              <w:rPr>
                <w:rFonts w:hint="eastAsia"/>
                <w:color w:val="auto"/>
                <w:sz w:val="18"/>
                <w:szCs w:val="18"/>
                <w:lang w:val="en-US" w:eastAsia="zh-CN"/>
              </w:rPr>
              <w:t>本项目弃渣场区仍有部分区植被长势较差，建设单位须及时对长势较差的区域进行补植，并检查完善弃渣场的拦挡措施，加强弃渣场的稳定性，避免水土流失灾害发生；</w:t>
            </w:r>
          </w:p>
          <w:p>
            <w:pPr>
              <w:pStyle w:val="16"/>
              <w:jc w:val="left"/>
              <w:rPr>
                <w:rFonts w:hint="default"/>
                <w:color w:val="auto"/>
                <w:szCs w:val="18"/>
              </w:rPr>
            </w:pPr>
            <w:r>
              <w:rPr>
                <w:rFonts w:hint="default"/>
                <w:color w:val="auto"/>
                <w:sz w:val="18"/>
                <w:szCs w:val="18"/>
              </w:rPr>
              <w:t>（</w:t>
            </w:r>
            <w:r>
              <w:rPr>
                <w:rFonts w:hint="eastAsia"/>
                <w:color w:val="auto"/>
                <w:sz w:val="18"/>
                <w:szCs w:val="18"/>
                <w:lang w:val="en-US" w:eastAsia="zh-CN"/>
              </w:rPr>
              <w:t>4</w:t>
            </w:r>
            <w:r>
              <w:rPr>
                <w:rFonts w:hint="default"/>
                <w:color w:val="auto"/>
                <w:sz w:val="18"/>
                <w:szCs w:val="18"/>
              </w:rPr>
              <w:t>）水土保持措施在项目运行期间容易损坏，建议项目业主认真落实管护措施，对已损毁的截排水沟、挡墙、护坡等工程措施应及时进行修复，并定期对截排水沟进行清淤；对已破坏的植物措施应及时进行补植补种。</w:t>
            </w:r>
          </w:p>
        </w:tc>
      </w:tr>
    </w:tbl>
    <w:p>
      <w:pPr>
        <w:ind w:left="0" w:leftChars="0" w:firstLine="0" w:firstLineChars="0"/>
        <w:rPr>
          <w:rFonts w:hint="default" w:ascii="Times New Roman" w:hAnsi="Times New Roman" w:eastAsia="宋体" w:cs="Times New Roman"/>
          <w:color w:val="auto"/>
        </w:rPr>
        <w:sectPr>
          <w:headerReference r:id="rId5" w:type="default"/>
          <w:footerReference r:id="rId6" w:type="default"/>
          <w:pgSz w:w="11906" w:h="16838"/>
          <w:pgMar w:top="851" w:right="1418" w:bottom="851" w:left="1701" w:header="851" w:footer="992" w:gutter="0"/>
          <w:pgBorders>
            <w:top w:val="none" w:sz="0" w:space="0"/>
            <w:left w:val="none" w:sz="0" w:space="0"/>
            <w:bottom w:val="none" w:sz="0" w:space="0"/>
            <w:right w:val="none" w:sz="0" w:space="0"/>
          </w:pgBorders>
          <w:pgNumType w:fmt="decimal"/>
          <w:cols w:space="720" w:num="1"/>
          <w:docGrid w:linePitch="326" w:charSpace="0"/>
        </w:sectPr>
      </w:pPr>
    </w:p>
    <w:p>
      <w:pPr>
        <w:pStyle w:val="2"/>
        <w:rPr>
          <w:rFonts w:hint="default"/>
          <w:color w:val="auto"/>
        </w:rPr>
      </w:pPr>
      <w:bookmarkStart w:id="0" w:name="_Toc400529658"/>
      <w:bookmarkStart w:id="1" w:name="_Toc739"/>
      <w:bookmarkStart w:id="2" w:name="_Toc371174590"/>
      <w:bookmarkStart w:id="3" w:name="_Toc400530759"/>
      <w:r>
        <w:rPr>
          <w:rStyle w:val="15"/>
          <w:rFonts w:hint="default"/>
          <w:b/>
          <w:color w:val="auto"/>
        </w:rPr>
        <w:t>1 建设项目及水土保持工作概况</w:t>
      </w:r>
      <w:bookmarkEnd w:id="0"/>
      <w:bookmarkEnd w:id="1"/>
      <w:bookmarkEnd w:id="2"/>
      <w:bookmarkEnd w:id="3"/>
      <w:r>
        <w:rPr>
          <w:rStyle w:val="15"/>
          <w:rFonts w:hint="default"/>
          <w:b/>
          <w:color w:val="auto"/>
        </w:rPr>
        <w:t xml:space="preserve"> </w:t>
      </w:r>
      <w:r>
        <w:rPr>
          <w:rFonts w:hint="default"/>
          <w:color w:val="auto"/>
        </w:rPr>
        <w:t xml:space="preserve">                                                                                                                                                                                                                                                                                                                                                                                                                                                                                                                                                                                                                                                                                                                                                                                                                                                                                                                                                                                                                                                                                                                                                                                                                                                                                                                                                                                                                                                                                                                                                                                                                                                                                                                                                                                                                                                                                                                                                                                                                                                                                                                                                                                                                                                                                                                                                                                                                                                                                                                                                                                                                                                                                                                                                                                                                                                                                                                                                                                                                                                                                                                                                                                                                                                                                                                                                                                                                                                                                                                                                                                                                                                                                                                                                                                                                                                                                                                                                                                                                                                                                                                                                                                                                </w:t>
      </w:r>
      <w:r>
        <w:rPr>
          <w:rFonts w:hint="default"/>
          <w:color w:val="auto"/>
        </w:rPr>
        <w:t xml:space="preserve">                                                                                                                                                                                                                                                                                                                                                                                                                                                                                                                                                                                                                                                                                                                                                                                                                                                                                                                                                                                                                                                                                                                                                                                                                                                                                                                                                                                                                                                                                                                                                                                                                                                                                                                                                                                                                                                                                                                                                                                                                                                                                                                                                                                                                                                                                                                                                                                                                                                                                                                                                                                                                                                                                                                                                                                                                                                                                                                                                                                                                                                                                                                                                                                                                                                                                                                                                                                                                                                                                                                                                                                                                                                                                                                                                                                                                                                                                                                                                                                                                                                                                                                                                                                                                </w:t>
      </w:r>
      <w:r>
        <w:rPr>
          <w:rFonts w:hint="default"/>
          <w:color w:val="auto"/>
        </w:rPr>
        <w:t xml:space="preserve">                                                                                                                                                                                                                                                                                                                                                                                                                                                                                                                                                                                                                                                                                                                                                                                                                                                                                                                                                                                                                                                                                                                                                                                                                                                                                                                                                                                                                                                                                                                                                                                                                                                                                                                                                                                                                                                                                                                                                                                                                                                                                                                                                                                                                                                                                                                                                                                                                                                                                                                                                                                                                                                                                                                                                                                                                                                                                                                                                                                                                                                                                                                                                                                                                                                                                                                                                                                                                                                                                                                                                                                                                                                                                                                                                                                                                                                                                                                 </w:t>
      </w:r>
    </w:p>
    <w:p>
      <w:pPr>
        <w:pStyle w:val="3"/>
        <w:rPr>
          <w:rFonts w:hint="default"/>
          <w:color w:val="auto"/>
        </w:rPr>
      </w:pPr>
      <w:bookmarkStart w:id="4" w:name="_Toc20899"/>
      <w:bookmarkStart w:id="5" w:name="_Toc400530760"/>
      <w:bookmarkStart w:id="6" w:name="_Toc400529659"/>
      <w:bookmarkStart w:id="7" w:name="_Toc371174591"/>
      <w:r>
        <w:rPr>
          <w:rFonts w:hint="default"/>
          <w:color w:val="auto"/>
        </w:rPr>
        <w:t>1.1项目概况</w:t>
      </w:r>
      <w:bookmarkEnd w:id="4"/>
      <w:bookmarkEnd w:id="5"/>
      <w:bookmarkEnd w:id="6"/>
      <w:bookmarkEnd w:id="7"/>
    </w:p>
    <w:p>
      <w:pPr>
        <w:pStyle w:val="4"/>
        <w:rPr>
          <w:rFonts w:hint="default"/>
          <w:color w:val="auto"/>
        </w:rPr>
      </w:pPr>
      <w:bookmarkStart w:id="8" w:name="_Toc400529660"/>
      <w:bookmarkStart w:id="9" w:name="_Toc400530761"/>
      <w:bookmarkStart w:id="10" w:name="_Toc371174592"/>
      <w:r>
        <w:rPr>
          <w:rFonts w:hint="default"/>
          <w:color w:val="auto"/>
        </w:rPr>
        <w:t>1.1.1地理位置</w:t>
      </w:r>
      <w:bookmarkEnd w:id="8"/>
      <w:bookmarkEnd w:id="9"/>
      <w:bookmarkEnd w:id="10"/>
    </w:p>
    <w:p>
      <w:pPr>
        <w:autoSpaceDE w:val="0"/>
        <w:autoSpaceDN w:val="0"/>
        <w:spacing w:line="360" w:lineRule="auto"/>
        <w:ind w:firstLine="560"/>
        <w:rPr>
          <w:rFonts w:hint="default" w:ascii="Times New Roman" w:hAnsi="Times New Roman" w:eastAsia="仿宋_GB2312" w:cs="Times New Roman"/>
          <w:color w:val="auto"/>
          <w:spacing w:val="0"/>
          <w:sz w:val="24"/>
          <w:szCs w:val="28"/>
        </w:rPr>
      </w:pPr>
      <w:r>
        <w:rPr>
          <w:color w:val="auto"/>
          <w:lang w:eastAsia="zh-CN"/>
        </w:rPr>
        <w:t>G320线普安江西坡至三板桥段改扩建工程位于贵州省黔西南州普安县，涉及普安县南湖街道办、盘水街道办。拟建道路起于普安县盘水街道办与晴隆县交界的大桥河处，至于南湖街道办。道路走向大致为由东向西，基本沿老路改扩建，部分路段为新建。项目区地理坐标：东经107°52′08″～107°52′39″，北纬26°03′01″～26°05′31″。</w:t>
      </w:r>
    </w:p>
    <w:p>
      <w:pPr>
        <w:pStyle w:val="4"/>
        <w:rPr>
          <w:rFonts w:hint="default"/>
          <w:color w:val="auto"/>
        </w:rPr>
      </w:pPr>
      <w:bookmarkStart w:id="11" w:name="_Toc430627057"/>
      <w:r>
        <w:rPr>
          <w:rFonts w:hint="default"/>
          <w:color w:val="auto"/>
        </w:rPr>
        <w:t>1.1.2</w:t>
      </w:r>
      <w:r>
        <w:rPr>
          <w:rFonts w:hint="eastAsia"/>
          <w:color w:val="auto"/>
          <w:lang w:eastAsia="zh-CN"/>
        </w:rPr>
        <w:t>项目特性</w:t>
      </w:r>
      <w:r>
        <w:rPr>
          <w:rFonts w:hint="default"/>
          <w:color w:val="auto"/>
        </w:rPr>
        <w:t>及工程规模</w:t>
      </w:r>
      <w:bookmarkEnd w:id="11"/>
    </w:p>
    <w:p>
      <w:pPr>
        <w:rPr>
          <w:color w:val="auto"/>
        </w:rPr>
      </w:pPr>
      <w:bookmarkStart w:id="12" w:name="_Toc430627058"/>
      <w:r>
        <w:rPr>
          <w:b/>
          <w:bCs/>
          <w:color w:val="auto"/>
        </w:rPr>
        <w:t>项目名称：</w:t>
      </w:r>
      <w:r>
        <w:rPr>
          <w:color w:val="auto"/>
        </w:rPr>
        <w:t>G320线普安江西坡至三板桥段改扩建工程；</w:t>
      </w:r>
    </w:p>
    <w:p>
      <w:pPr>
        <w:rPr>
          <w:color w:val="auto"/>
        </w:rPr>
      </w:pPr>
      <w:r>
        <w:rPr>
          <w:b/>
          <w:bCs/>
          <w:color w:val="auto"/>
        </w:rPr>
        <w:t>建设单位：</w:t>
      </w:r>
      <w:r>
        <w:rPr>
          <w:color w:val="auto"/>
        </w:rPr>
        <w:t>普安县交通运输局；</w:t>
      </w:r>
    </w:p>
    <w:p>
      <w:pPr>
        <w:rPr>
          <w:color w:val="auto"/>
        </w:rPr>
      </w:pPr>
      <w:r>
        <w:rPr>
          <w:b/>
          <w:bCs/>
          <w:color w:val="auto"/>
        </w:rPr>
        <w:t>建设地点：</w:t>
      </w:r>
      <w:r>
        <w:rPr>
          <w:color w:val="auto"/>
        </w:rPr>
        <w:t>普安县</w:t>
      </w:r>
    </w:p>
    <w:p>
      <w:pPr>
        <w:rPr>
          <w:color w:val="auto"/>
        </w:rPr>
      </w:pPr>
      <w:r>
        <w:rPr>
          <w:b/>
          <w:bCs/>
          <w:color w:val="auto"/>
        </w:rPr>
        <w:t>项目规模：</w:t>
      </w:r>
      <w:r>
        <w:rPr>
          <w:color w:val="auto"/>
        </w:rPr>
        <w:t>G320线普安江西坡至三板桥段改扩建工程起于普安县盘水街道办与晴隆县交界的大桥河处，经小寨子、长安头、江西坡集镇、许家院、红花湾、赵家田、三道坎、白石乡、芭蕉关、小关岭、文必山、月亮田、东风水库、十里村、黄家垭口、观音洞、九峰村、沙滩头、大梨树、至于南湖街道办。道</w:t>
      </w:r>
      <w:r>
        <w:rPr>
          <w:rFonts w:hint="eastAsia"/>
          <w:color w:val="auto"/>
          <w:lang w:val="en-US" w:eastAsia="zh-CN"/>
        </w:rPr>
        <w:t>96+</w:t>
      </w:r>
      <w:r>
        <w:rPr>
          <w:color w:val="auto"/>
        </w:rPr>
        <w:t>路全长39.302km，全线按二级公路标准进行改造，设计速度40km/h，路基宽度8.5m，汽车荷载等级为公路-Ⅱ级，路面类型为沥青混凝土，新建36m小桥1座，新建65m长中桥1座，涵洞105道。根据主体设计资料，道路全长39.302km，其中新建3.263km，利用G320线公路改扩建34.951km，完全利用G320公路0.688km，利用X623线改扩建0.4km，老路利用率91.70%。</w:t>
      </w:r>
    </w:p>
    <w:p>
      <w:pPr>
        <w:rPr>
          <w:color w:val="auto"/>
        </w:rPr>
      </w:pPr>
      <w:r>
        <w:rPr>
          <w:b/>
          <w:bCs/>
          <w:color w:val="auto"/>
        </w:rPr>
        <w:t>建设性质：</w:t>
      </w:r>
      <w:r>
        <w:rPr>
          <w:color w:val="auto"/>
        </w:rPr>
        <w:t>改扩建；</w:t>
      </w:r>
    </w:p>
    <w:p>
      <w:pPr>
        <w:rPr>
          <w:color w:val="auto"/>
        </w:rPr>
      </w:pPr>
      <w:r>
        <w:rPr>
          <w:b/>
          <w:bCs/>
          <w:color w:val="auto"/>
        </w:rPr>
        <w:t>建设内容：</w:t>
      </w:r>
      <w:r>
        <w:rPr>
          <w:color w:val="auto"/>
        </w:rPr>
        <w:t>路基开挖、平整、涵洞建设、管道敷设、边坡支护、工程砌筑、排水工程、绿化工程等；</w:t>
      </w:r>
    </w:p>
    <w:p>
      <w:pPr>
        <w:rPr>
          <w:color w:val="auto"/>
        </w:rPr>
      </w:pPr>
      <w:r>
        <w:rPr>
          <w:b/>
          <w:bCs/>
          <w:color w:val="auto"/>
        </w:rPr>
        <w:t>建设工期：</w:t>
      </w:r>
      <w:r>
        <w:rPr>
          <w:color w:val="auto"/>
        </w:rPr>
        <w:t>目建设总工期</w:t>
      </w:r>
      <w:r>
        <w:rPr>
          <w:rFonts w:hint="eastAsia"/>
          <w:color w:val="auto"/>
          <w:lang w:val="en-US" w:eastAsia="zh-CN"/>
        </w:rPr>
        <w:t>68</w:t>
      </w:r>
      <w:r>
        <w:rPr>
          <w:color w:val="auto"/>
        </w:rPr>
        <w:t>个月，已于2015年3月动工，已于2017年12月竣工通车；</w:t>
      </w:r>
      <w:r>
        <w:rPr>
          <w:rFonts w:hint="eastAsia"/>
          <w:color w:val="auto"/>
          <w:lang w:val="en-US" w:eastAsia="zh-CN"/>
        </w:rPr>
        <w:t>2018年1月至2020年10月进行水土保持措施完善和养护。</w:t>
      </w:r>
    </w:p>
    <w:p>
      <w:pPr>
        <w:rPr>
          <w:color w:val="auto"/>
          <w:lang w:eastAsia="zh-CN"/>
        </w:rPr>
      </w:pPr>
      <w:r>
        <w:rPr>
          <w:b/>
          <w:bCs/>
          <w:color w:val="auto"/>
        </w:rPr>
        <w:t>投资：</w:t>
      </w:r>
      <w:r>
        <w:rPr>
          <w:color w:val="auto"/>
        </w:rPr>
        <w:t>工程总投资23334.21万元，其中土建工程投资17626.70万元。资金来源：中央车购税补助资金21381万元，其余部分由普安县人民政府自筹。项目工程主要特征值详见表</w:t>
      </w:r>
      <w:r>
        <w:rPr>
          <w:rFonts w:hint="eastAsia"/>
          <w:color w:val="auto"/>
          <w:lang w:val="en-US" w:eastAsia="zh-CN"/>
        </w:rPr>
        <w:t>1</w:t>
      </w:r>
      <w:r>
        <w:rPr>
          <w:color w:val="auto"/>
        </w:rPr>
        <w:t>-1。</w:t>
      </w:r>
    </w:p>
    <w:p>
      <w:pPr>
        <w:pStyle w:val="17"/>
        <w:keepNext w:val="0"/>
        <w:keepLines w:val="0"/>
        <w:pageBreakBefore w:val="0"/>
        <w:widowControl w:val="0"/>
        <w:kinsoku/>
        <w:wordWrap/>
        <w:overflowPunct/>
        <w:topLinePunct w:val="0"/>
        <w:autoSpaceDE/>
        <w:autoSpaceDN/>
        <w:bidi w:val="0"/>
        <w:adjustRightInd w:val="0"/>
        <w:snapToGrid w:val="0"/>
        <w:spacing w:afterLines="0"/>
        <w:textAlignment w:val="auto"/>
        <w:rPr>
          <w:rFonts w:hint="eastAsia"/>
          <w:b w:val="0"/>
          <w:bCs w:val="0"/>
          <w:color w:val="auto"/>
          <w:sz w:val="24"/>
          <w:szCs w:val="24"/>
          <w:lang w:eastAsia="zh-CN"/>
        </w:rPr>
      </w:pPr>
    </w:p>
    <w:p>
      <w:pPr>
        <w:pStyle w:val="17"/>
        <w:keepNext w:val="0"/>
        <w:keepLines w:val="0"/>
        <w:pageBreakBefore w:val="0"/>
        <w:widowControl w:val="0"/>
        <w:kinsoku/>
        <w:wordWrap/>
        <w:overflowPunct/>
        <w:topLinePunct w:val="0"/>
        <w:autoSpaceDE/>
        <w:autoSpaceDN/>
        <w:bidi w:val="0"/>
        <w:adjustRightInd w:val="0"/>
        <w:snapToGrid w:val="0"/>
        <w:spacing w:afterLines="0"/>
        <w:textAlignment w:val="auto"/>
        <w:rPr>
          <w:rFonts w:hint="eastAsia"/>
          <w:b w:val="0"/>
          <w:bCs w:val="0"/>
          <w:color w:val="auto"/>
          <w:sz w:val="24"/>
          <w:szCs w:val="24"/>
          <w:lang w:eastAsia="zh-CN"/>
        </w:rPr>
      </w:pPr>
    </w:p>
    <w:p>
      <w:pPr>
        <w:pStyle w:val="17"/>
        <w:keepNext w:val="0"/>
        <w:keepLines w:val="0"/>
        <w:pageBreakBefore w:val="0"/>
        <w:widowControl w:val="0"/>
        <w:kinsoku/>
        <w:wordWrap/>
        <w:overflowPunct/>
        <w:topLinePunct w:val="0"/>
        <w:autoSpaceDE/>
        <w:autoSpaceDN/>
        <w:bidi w:val="0"/>
        <w:adjustRightInd w:val="0"/>
        <w:snapToGrid w:val="0"/>
        <w:spacing w:afterLines="0"/>
        <w:jc w:val="both"/>
        <w:textAlignment w:val="auto"/>
        <w:rPr>
          <w:rFonts w:hint="eastAsia"/>
          <w:b w:val="0"/>
          <w:bCs w:val="0"/>
          <w:color w:val="auto"/>
          <w:sz w:val="24"/>
          <w:szCs w:val="24"/>
          <w:lang w:eastAsia="zh-CN"/>
        </w:rPr>
      </w:pPr>
    </w:p>
    <w:p>
      <w:pPr>
        <w:pStyle w:val="17"/>
        <w:rPr>
          <w:rFonts w:hint="default"/>
          <w:b w:val="0"/>
          <w:bCs w:val="0"/>
          <w:color w:val="auto"/>
          <w:szCs w:val="24"/>
          <w:lang w:val="en-US" w:eastAsia="zh-CN"/>
        </w:rPr>
      </w:pPr>
      <w:r>
        <w:rPr>
          <w:rFonts w:hint="eastAsia"/>
          <w:color w:val="auto"/>
          <w:lang w:eastAsia="zh-CN"/>
        </w:rPr>
        <w:t>表</w:t>
      </w:r>
      <w:r>
        <w:rPr>
          <w:rFonts w:hint="eastAsia"/>
          <w:color w:val="auto"/>
          <w:lang w:val="en-US" w:eastAsia="zh-CN"/>
        </w:rPr>
        <w:t>1-1</w:t>
      </w:r>
      <w:r>
        <w:rPr>
          <w:rFonts w:hint="eastAsia"/>
          <w:color w:val="auto"/>
          <w:lang w:eastAsia="zh-CN"/>
        </w:rPr>
        <w:t>工程特性表</w:t>
      </w:r>
    </w:p>
    <w:tbl>
      <w:tblPr>
        <w:tblStyle w:val="1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1618"/>
        <w:gridCol w:w="13"/>
        <w:gridCol w:w="201"/>
        <w:gridCol w:w="1226"/>
        <w:gridCol w:w="398"/>
        <w:gridCol w:w="32"/>
        <w:gridCol w:w="949"/>
        <w:gridCol w:w="981"/>
        <w:gridCol w:w="1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10"/>
            <w:vAlign w:val="center"/>
          </w:tcPr>
          <w:p>
            <w:pPr>
              <w:pStyle w:val="16"/>
              <w:rPr>
                <w:color w:val="auto"/>
              </w:rPr>
            </w:pPr>
            <w:r>
              <w:rPr>
                <w:color w:val="auto"/>
              </w:rPr>
              <w:t>一、项目概况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Align w:val="center"/>
          </w:tcPr>
          <w:p>
            <w:pPr>
              <w:pStyle w:val="16"/>
              <w:rPr>
                <w:color w:val="auto"/>
              </w:rPr>
            </w:pPr>
            <w:r>
              <w:rPr>
                <w:color w:val="auto"/>
              </w:rPr>
              <w:t>项目名称</w:t>
            </w:r>
          </w:p>
        </w:tc>
        <w:tc>
          <w:tcPr>
            <w:tcW w:w="7349" w:type="dxa"/>
            <w:gridSpan w:val="9"/>
            <w:vAlign w:val="center"/>
          </w:tcPr>
          <w:p>
            <w:pPr>
              <w:pStyle w:val="16"/>
              <w:rPr>
                <w:color w:val="auto"/>
              </w:rPr>
            </w:pPr>
            <w:r>
              <w:rPr>
                <w:color w:val="auto"/>
              </w:rPr>
              <w:t>G320线普安江西坡至三板桥段改扩建工程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Align w:val="center"/>
          </w:tcPr>
          <w:p>
            <w:pPr>
              <w:pStyle w:val="16"/>
              <w:rPr>
                <w:color w:val="auto"/>
              </w:rPr>
            </w:pPr>
            <w:r>
              <w:rPr>
                <w:color w:val="auto"/>
              </w:rPr>
              <w:t>建设单位</w:t>
            </w:r>
          </w:p>
        </w:tc>
        <w:tc>
          <w:tcPr>
            <w:tcW w:w="7349" w:type="dxa"/>
            <w:gridSpan w:val="9"/>
            <w:vAlign w:val="center"/>
          </w:tcPr>
          <w:p>
            <w:pPr>
              <w:pStyle w:val="16"/>
              <w:rPr>
                <w:color w:val="auto"/>
              </w:rPr>
            </w:pPr>
            <w:r>
              <w:rPr>
                <w:color w:val="auto"/>
              </w:rPr>
              <w:t>普安县交通运输局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Align w:val="center"/>
          </w:tcPr>
          <w:p>
            <w:pPr>
              <w:pStyle w:val="16"/>
              <w:rPr>
                <w:color w:val="auto"/>
              </w:rPr>
            </w:pPr>
            <w:r>
              <w:rPr>
                <w:color w:val="auto"/>
              </w:rPr>
              <w:t>建设地点</w:t>
            </w:r>
          </w:p>
        </w:tc>
        <w:tc>
          <w:tcPr>
            <w:tcW w:w="7349" w:type="dxa"/>
            <w:gridSpan w:val="9"/>
            <w:vAlign w:val="center"/>
          </w:tcPr>
          <w:p>
            <w:pPr>
              <w:pStyle w:val="16"/>
              <w:rPr>
                <w:color w:val="auto"/>
              </w:rPr>
            </w:pPr>
            <w:r>
              <w:rPr>
                <w:color w:val="auto"/>
              </w:rPr>
              <w:t>普安县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Align w:val="center"/>
          </w:tcPr>
          <w:p>
            <w:pPr>
              <w:pStyle w:val="16"/>
              <w:rPr>
                <w:color w:val="auto"/>
              </w:rPr>
            </w:pPr>
            <w:r>
              <w:rPr>
                <w:color w:val="auto"/>
              </w:rPr>
              <w:t>建设性质</w:t>
            </w:r>
          </w:p>
        </w:tc>
        <w:tc>
          <w:tcPr>
            <w:tcW w:w="7349" w:type="dxa"/>
            <w:gridSpan w:val="9"/>
            <w:vAlign w:val="center"/>
          </w:tcPr>
          <w:p>
            <w:pPr>
              <w:pStyle w:val="16"/>
              <w:rPr>
                <w:color w:val="auto"/>
              </w:rPr>
            </w:pPr>
            <w:r>
              <w:rPr>
                <w:color w:val="auto"/>
              </w:rPr>
              <w:t>改扩建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Align w:val="center"/>
          </w:tcPr>
          <w:p>
            <w:pPr>
              <w:pStyle w:val="16"/>
              <w:rPr>
                <w:color w:val="auto"/>
              </w:rPr>
            </w:pPr>
            <w:r>
              <w:rPr>
                <w:color w:val="auto"/>
              </w:rPr>
              <w:t>工程等级</w:t>
            </w:r>
          </w:p>
        </w:tc>
        <w:tc>
          <w:tcPr>
            <w:tcW w:w="7349" w:type="dxa"/>
            <w:gridSpan w:val="9"/>
            <w:vAlign w:val="center"/>
          </w:tcPr>
          <w:p>
            <w:pPr>
              <w:pStyle w:val="16"/>
              <w:rPr>
                <w:color w:val="auto"/>
              </w:rPr>
            </w:pPr>
            <w:r>
              <w:rPr>
                <w:color w:val="auto"/>
              </w:rPr>
              <w:t>城市主干道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restart"/>
            <w:vAlign w:val="center"/>
          </w:tcPr>
          <w:p>
            <w:pPr>
              <w:pStyle w:val="16"/>
              <w:rPr>
                <w:color w:val="auto"/>
              </w:rPr>
            </w:pPr>
            <w:r>
              <w:rPr>
                <w:color w:val="auto"/>
              </w:rPr>
              <w:t>建设规模</w:t>
            </w:r>
          </w:p>
        </w:tc>
        <w:tc>
          <w:tcPr>
            <w:tcW w:w="1631" w:type="dxa"/>
            <w:gridSpan w:val="2"/>
            <w:vAlign w:val="center"/>
          </w:tcPr>
          <w:p>
            <w:pPr>
              <w:pStyle w:val="16"/>
              <w:rPr>
                <w:color w:val="auto"/>
              </w:rPr>
            </w:pPr>
            <w:r>
              <w:rPr>
                <w:color w:val="auto"/>
              </w:rPr>
              <w:t>长度（km）</w:t>
            </w:r>
          </w:p>
        </w:tc>
        <w:tc>
          <w:tcPr>
            <w:tcW w:w="1857" w:type="dxa"/>
            <w:gridSpan w:val="4"/>
            <w:vAlign w:val="center"/>
          </w:tcPr>
          <w:p>
            <w:pPr>
              <w:pStyle w:val="16"/>
              <w:rPr>
                <w:color w:val="auto"/>
              </w:rPr>
            </w:pPr>
            <w:r>
              <w:rPr>
                <w:color w:val="auto"/>
              </w:rPr>
              <w:t>36.042</w:t>
            </w:r>
          </w:p>
        </w:tc>
        <w:tc>
          <w:tcPr>
            <w:tcW w:w="1930" w:type="dxa"/>
            <w:gridSpan w:val="2"/>
            <w:vAlign w:val="center"/>
          </w:tcPr>
          <w:p>
            <w:pPr>
              <w:pStyle w:val="16"/>
              <w:rPr>
                <w:color w:val="auto"/>
              </w:rPr>
            </w:pPr>
            <w:r>
              <w:rPr>
                <w:color w:val="auto"/>
              </w:rPr>
              <w:t>行车速度（km/h）</w:t>
            </w:r>
          </w:p>
        </w:tc>
        <w:tc>
          <w:tcPr>
            <w:tcW w:w="1931" w:type="dxa"/>
            <w:vAlign w:val="center"/>
          </w:tcPr>
          <w:p>
            <w:pPr>
              <w:pStyle w:val="16"/>
              <w:rPr>
                <w:color w:val="auto"/>
              </w:rPr>
            </w:pPr>
            <w:r>
              <w:rPr>
                <w:color w:val="auto"/>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continue"/>
            <w:vAlign w:val="center"/>
          </w:tcPr>
          <w:p>
            <w:pPr>
              <w:pStyle w:val="16"/>
              <w:rPr>
                <w:color w:val="auto"/>
              </w:rPr>
            </w:pPr>
          </w:p>
        </w:tc>
        <w:tc>
          <w:tcPr>
            <w:tcW w:w="1631" w:type="dxa"/>
            <w:gridSpan w:val="2"/>
            <w:vAlign w:val="center"/>
          </w:tcPr>
          <w:p>
            <w:pPr>
              <w:pStyle w:val="16"/>
              <w:rPr>
                <w:color w:val="auto"/>
              </w:rPr>
            </w:pPr>
            <w:r>
              <w:rPr>
                <w:color w:val="auto"/>
              </w:rPr>
              <w:t>路基宽度（m）</w:t>
            </w:r>
          </w:p>
        </w:tc>
        <w:tc>
          <w:tcPr>
            <w:tcW w:w="1857" w:type="dxa"/>
            <w:gridSpan w:val="4"/>
            <w:vAlign w:val="center"/>
          </w:tcPr>
          <w:p>
            <w:pPr>
              <w:pStyle w:val="16"/>
              <w:rPr>
                <w:color w:val="auto"/>
              </w:rPr>
            </w:pPr>
            <w:r>
              <w:rPr>
                <w:color w:val="auto"/>
              </w:rPr>
              <w:t>8.5</w:t>
            </w:r>
          </w:p>
        </w:tc>
        <w:tc>
          <w:tcPr>
            <w:tcW w:w="1930" w:type="dxa"/>
            <w:gridSpan w:val="2"/>
            <w:vAlign w:val="center"/>
          </w:tcPr>
          <w:p>
            <w:pPr>
              <w:pStyle w:val="16"/>
              <w:rPr>
                <w:color w:val="auto"/>
              </w:rPr>
            </w:pPr>
            <w:r>
              <w:rPr>
                <w:color w:val="auto"/>
              </w:rPr>
              <w:t>路面结构</w:t>
            </w:r>
          </w:p>
        </w:tc>
        <w:tc>
          <w:tcPr>
            <w:tcW w:w="1931" w:type="dxa"/>
            <w:vAlign w:val="center"/>
          </w:tcPr>
          <w:p>
            <w:pPr>
              <w:pStyle w:val="16"/>
              <w:rPr>
                <w:color w:val="auto"/>
              </w:rPr>
            </w:pPr>
            <w:r>
              <w:rPr>
                <w:color w:val="auto"/>
              </w:rPr>
              <w:t>沥青混凝土路面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Align w:val="center"/>
          </w:tcPr>
          <w:p>
            <w:pPr>
              <w:pStyle w:val="16"/>
              <w:rPr>
                <w:color w:val="auto"/>
              </w:rPr>
            </w:pPr>
            <w:r>
              <w:rPr>
                <w:color w:val="auto"/>
              </w:rPr>
              <w:t>工程投资</w:t>
            </w:r>
          </w:p>
        </w:tc>
        <w:tc>
          <w:tcPr>
            <w:tcW w:w="1631" w:type="dxa"/>
            <w:gridSpan w:val="2"/>
            <w:vAlign w:val="center"/>
          </w:tcPr>
          <w:p>
            <w:pPr>
              <w:pStyle w:val="16"/>
              <w:rPr>
                <w:color w:val="auto"/>
              </w:rPr>
            </w:pPr>
            <w:r>
              <w:rPr>
                <w:color w:val="auto"/>
              </w:rPr>
              <w:t>总投资（万元）</w:t>
            </w:r>
          </w:p>
        </w:tc>
        <w:tc>
          <w:tcPr>
            <w:tcW w:w="1857" w:type="dxa"/>
            <w:gridSpan w:val="4"/>
            <w:vAlign w:val="center"/>
          </w:tcPr>
          <w:p>
            <w:pPr>
              <w:pStyle w:val="16"/>
              <w:rPr>
                <w:color w:val="auto"/>
              </w:rPr>
            </w:pPr>
            <w:r>
              <w:rPr>
                <w:color w:val="auto"/>
              </w:rPr>
              <w:t>23334.21</w:t>
            </w:r>
          </w:p>
        </w:tc>
        <w:tc>
          <w:tcPr>
            <w:tcW w:w="1930" w:type="dxa"/>
            <w:gridSpan w:val="2"/>
            <w:vAlign w:val="center"/>
          </w:tcPr>
          <w:p>
            <w:pPr>
              <w:pStyle w:val="16"/>
              <w:rPr>
                <w:color w:val="auto"/>
              </w:rPr>
            </w:pPr>
            <w:r>
              <w:rPr>
                <w:color w:val="auto"/>
              </w:rPr>
              <w:t>土建投资（万元）</w:t>
            </w:r>
          </w:p>
        </w:tc>
        <w:tc>
          <w:tcPr>
            <w:tcW w:w="1931" w:type="dxa"/>
            <w:vAlign w:val="center"/>
          </w:tcPr>
          <w:p>
            <w:pPr>
              <w:pStyle w:val="16"/>
              <w:rPr>
                <w:color w:val="auto"/>
              </w:rPr>
            </w:pPr>
            <w:r>
              <w:rPr>
                <w:color w:val="auto"/>
              </w:rPr>
              <w:t>17626.70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Align w:val="center"/>
          </w:tcPr>
          <w:p>
            <w:pPr>
              <w:pStyle w:val="16"/>
              <w:rPr>
                <w:color w:val="auto"/>
              </w:rPr>
            </w:pPr>
            <w:r>
              <w:rPr>
                <w:color w:val="auto"/>
              </w:rPr>
              <w:t>建设工期</w:t>
            </w:r>
          </w:p>
        </w:tc>
        <w:tc>
          <w:tcPr>
            <w:tcW w:w="7349" w:type="dxa"/>
            <w:gridSpan w:val="9"/>
            <w:vAlign w:val="center"/>
          </w:tcPr>
          <w:p>
            <w:pPr>
              <w:pStyle w:val="16"/>
              <w:rPr>
                <w:color w:val="auto"/>
              </w:rPr>
            </w:pPr>
            <w:r>
              <w:rPr>
                <w:color w:val="auto"/>
              </w:rPr>
              <w:t>68个月（2015年3月至2020年10月）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10"/>
            <w:vAlign w:val="center"/>
          </w:tcPr>
          <w:p>
            <w:pPr>
              <w:pStyle w:val="16"/>
              <w:rPr>
                <w:color w:val="auto"/>
              </w:rPr>
            </w:pPr>
            <w:r>
              <w:rPr>
                <w:color w:val="auto"/>
              </w:rPr>
              <w:t>二、主体工程占地情况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5" w:type="dxa"/>
            <w:gridSpan w:val="4"/>
            <w:vMerge w:val="restart"/>
            <w:vAlign w:val="center"/>
          </w:tcPr>
          <w:p>
            <w:pPr>
              <w:pStyle w:val="16"/>
              <w:rPr>
                <w:color w:val="auto"/>
              </w:rPr>
            </w:pPr>
            <w:r>
              <w:rPr>
                <w:color w:val="auto"/>
              </w:rPr>
              <w:t>项目组成</w:t>
            </w:r>
          </w:p>
        </w:tc>
        <w:tc>
          <w:tcPr>
            <w:tcW w:w="5517" w:type="dxa"/>
            <w:gridSpan w:val="6"/>
            <w:vAlign w:val="center"/>
          </w:tcPr>
          <w:p>
            <w:pPr>
              <w:pStyle w:val="16"/>
              <w:rPr>
                <w:color w:val="auto"/>
              </w:rPr>
            </w:pPr>
            <w:r>
              <w:rPr>
                <w:color w:val="auto"/>
              </w:rPr>
              <w:t>占地面积（hm</w:t>
            </w:r>
            <w:r>
              <w:rPr>
                <w:color w:val="auto"/>
                <w:vertAlign w:val="superscript"/>
              </w:rPr>
              <w:t>2</w:t>
            </w: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5" w:type="dxa"/>
            <w:gridSpan w:val="4"/>
            <w:vMerge w:val="continue"/>
            <w:vAlign w:val="center"/>
          </w:tcPr>
          <w:p>
            <w:pPr>
              <w:pStyle w:val="16"/>
              <w:rPr>
                <w:color w:val="auto"/>
              </w:rPr>
            </w:pPr>
          </w:p>
        </w:tc>
        <w:tc>
          <w:tcPr>
            <w:tcW w:w="1624" w:type="dxa"/>
            <w:gridSpan w:val="2"/>
            <w:vAlign w:val="center"/>
          </w:tcPr>
          <w:p>
            <w:pPr>
              <w:pStyle w:val="16"/>
              <w:rPr>
                <w:color w:val="auto"/>
              </w:rPr>
            </w:pPr>
            <w:r>
              <w:rPr>
                <w:color w:val="auto"/>
              </w:rPr>
              <w:t>小计</w:t>
            </w:r>
          </w:p>
        </w:tc>
        <w:tc>
          <w:tcPr>
            <w:tcW w:w="1962" w:type="dxa"/>
            <w:gridSpan w:val="3"/>
            <w:vAlign w:val="center"/>
          </w:tcPr>
          <w:p>
            <w:pPr>
              <w:pStyle w:val="16"/>
              <w:rPr>
                <w:color w:val="auto"/>
              </w:rPr>
            </w:pPr>
            <w:r>
              <w:rPr>
                <w:color w:val="auto"/>
              </w:rPr>
              <w:t>永久占地</w:t>
            </w:r>
          </w:p>
        </w:tc>
        <w:tc>
          <w:tcPr>
            <w:tcW w:w="1931" w:type="dxa"/>
            <w:vAlign w:val="center"/>
          </w:tcPr>
          <w:p>
            <w:pPr>
              <w:pStyle w:val="16"/>
              <w:rPr>
                <w:color w:val="auto"/>
              </w:rPr>
            </w:pPr>
            <w:r>
              <w:rPr>
                <w:color w:val="auto"/>
              </w:rPr>
              <w:t>临时占地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5" w:type="dxa"/>
            <w:gridSpan w:val="4"/>
            <w:vAlign w:val="center"/>
          </w:tcPr>
          <w:p>
            <w:pPr>
              <w:pStyle w:val="16"/>
              <w:rPr>
                <w:color w:val="auto"/>
              </w:rPr>
            </w:pPr>
            <w:r>
              <w:rPr>
                <w:color w:val="auto"/>
              </w:rPr>
              <w:t>路基工程</w:t>
            </w:r>
          </w:p>
        </w:tc>
        <w:tc>
          <w:tcPr>
            <w:tcW w:w="1624" w:type="dxa"/>
            <w:gridSpan w:val="2"/>
            <w:vAlign w:val="center"/>
          </w:tcPr>
          <w:p>
            <w:pPr>
              <w:pStyle w:val="16"/>
              <w:rPr>
                <w:color w:val="auto"/>
              </w:rPr>
            </w:pPr>
            <w:r>
              <w:rPr>
                <w:color w:val="auto"/>
              </w:rPr>
              <w:t>65.16</w:t>
            </w:r>
          </w:p>
        </w:tc>
        <w:tc>
          <w:tcPr>
            <w:tcW w:w="1962" w:type="dxa"/>
            <w:gridSpan w:val="3"/>
            <w:vAlign w:val="center"/>
          </w:tcPr>
          <w:p>
            <w:pPr>
              <w:pStyle w:val="16"/>
              <w:rPr>
                <w:color w:val="auto"/>
              </w:rPr>
            </w:pPr>
            <w:r>
              <w:rPr>
                <w:color w:val="auto"/>
              </w:rPr>
              <w:t>65.16</w:t>
            </w:r>
          </w:p>
        </w:tc>
        <w:tc>
          <w:tcPr>
            <w:tcW w:w="1931" w:type="dxa"/>
            <w:vAlign w:val="center"/>
          </w:tcPr>
          <w:p>
            <w:pPr>
              <w:pStyle w:val="16"/>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5" w:type="dxa"/>
            <w:gridSpan w:val="4"/>
            <w:vAlign w:val="center"/>
          </w:tcPr>
          <w:p>
            <w:pPr>
              <w:pStyle w:val="16"/>
              <w:rPr>
                <w:color w:val="auto"/>
              </w:rPr>
            </w:pPr>
            <w:r>
              <w:rPr>
                <w:color w:val="auto"/>
              </w:rPr>
              <w:t>桥梁工程</w:t>
            </w:r>
          </w:p>
        </w:tc>
        <w:tc>
          <w:tcPr>
            <w:tcW w:w="1624" w:type="dxa"/>
            <w:gridSpan w:val="2"/>
            <w:vAlign w:val="center"/>
          </w:tcPr>
          <w:p>
            <w:pPr>
              <w:pStyle w:val="16"/>
              <w:rPr>
                <w:color w:val="auto"/>
              </w:rPr>
            </w:pPr>
            <w:r>
              <w:rPr>
                <w:color w:val="auto"/>
              </w:rPr>
              <w:t>0.19</w:t>
            </w:r>
          </w:p>
        </w:tc>
        <w:tc>
          <w:tcPr>
            <w:tcW w:w="1962" w:type="dxa"/>
            <w:gridSpan w:val="3"/>
            <w:vAlign w:val="center"/>
          </w:tcPr>
          <w:p>
            <w:pPr>
              <w:pStyle w:val="16"/>
              <w:rPr>
                <w:color w:val="auto"/>
              </w:rPr>
            </w:pPr>
            <w:r>
              <w:rPr>
                <w:color w:val="auto"/>
              </w:rPr>
              <w:t>0.19</w:t>
            </w:r>
          </w:p>
        </w:tc>
        <w:tc>
          <w:tcPr>
            <w:tcW w:w="1931" w:type="dxa"/>
            <w:vAlign w:val="center"/>
          </w:tcPr>
          <w:p>
            <w:pPr>
              <w:pStyle w:val="16"/>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5" w:type="dxa"/>
            <w:gridSpan w:val="4"/>
            <w:vAlign w:val="center"/>
          </w:tcPr>
          <w:p>
            <w:pPr>
              <w:pStyle w:val="16"/>
              <w:rPr>
                <w:color w:val="auto"/>
              </w:rPr>
            </w:pPr>
            <w:r>
              <w:rPr>
                <w:color w:val="auto"/>
              </w:rPr>
              <w:t>弃渣场</w:t>
            </w:r>
          </w:p>
        </w:tc>
        <w:tc>
          <w:tcPr>
            <w:tcW w:w="1624" w:type="dxa"/>
            <w:gridSpan w:val="2"/>
            <w:vAlign w:val="center"/>
          </w:tcPr>
          <w:p>
            <w:pPr>
              <w:pStyle w:val="16"/>
              <w:rPr>
                <w:color w:val="auto"/>
              </w:rPr>
            </w:pPr>
            <w:r>
              <w:rPr>
                <w:color w:val="auto"/>
              </w:rPr>
              <w:t>5.71</w:t>
            </w:r>
          </w:p>
        </w:tc>
        <w:tc>
          <w:tcPr>
            <w:tcW w:w="1962" w:type="dxa"/>
            <w:gridSpan w:val="3"/>
            <w:vAlign w:val="center"/>
          </w:tcPr>
          <w:p>
            <w:pPr>
              <w:pStyle w:val="16"/>
              <w:rPr>
                <w:color w:val="auto"/>
              </w:rPr>
            </w:pPr>
            <w:r>
              <w:rPr>
                <w:color w:val="auto"/>
              </w:rPr>
              <w:t>5.71</w:t>
            </w:r>
          </w:p>
        </w:tc>
        <w:tc>
          <w:tcPr>
            <w:tcW w:w="1931" w:type="dxa"/>
            <w:vAlign w:val="center"/>
          </w:tcPr>
          <w:p>
            <w:pPr>
              <w:pStyle w:val="16"/>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5" w:type="dxa"/>
            <w:gridSpan w:val="4"/>
            <w:vAlign w:val="center"/>
          </w:tcPr>
          <w:p>
            <w:pPr>
              <w:pStyle w:val="16"/>
              <w:rPr>
                <w:color w:val="auto"/>
              </w:rPr>
            </w:pPr>
            <w:r>
              <w:rPr>
                <w:color w:val="auto"/>
              </w:rPr>
              <w:t>取料场</w:t>
            </w:r>
          </w:p>
        </w:tc>
        <w:tc>
          <w:tcPr>
            <w:tcW w:w="1624" w:type="dxa"/>
            <w:gridSpan w:val="2"/>
            <w:vAlign w:val="center"/>
          </w:tcPr>
          <w:p>
            <w:pPr>
              <w:pStyle w:val="16"/>
              <w:rPr>
                <w:color w:val="auto"/>
              </w:rPr>
            </w:pPr>
            <w:r>
              <w:rPr>
                <w:color w:val="auto"/>
              </w:rPr>
              <w:t>0.83</w:t>
            </w:r>
          </w:p>
        </w:tc>
        <w:tc>
          <w:tcPr>
            <w:tcW w:w="1962" w:type="dxa"/>
            <w:gridSpan w:val="3"/>
            <w:vAlign w:val="center"/>
          </w:tcPr>
          <w:p>
            <w:pPr>
              <w:pStyle w:val="16"/>
              <w:rPr>
                <w:color w:val="auto"/>
              </w:rPr>
            </w:pPr>
          </w:p>
        </w:tc>
        <w:tc>
          <w:tcPr>
            <w:tcW w:w="1931" w:type="dxa"/>
            <w:vAlign w:val="center"/>
          </w:tcPr>
          <w:p>
            <w:pPr>
              <w:pStyle w:val="16"/>
              <w:rPr>
                <w:color w:val="auto"/>
              </w:rPr>
            </w:pPr>
            <w:r>
              <w:rPr>
                <w:color w:val="auto"/>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5" w:type="dxa"/>
            <w:gridSpan w:val="4"/>
            <w:vAlign w:val="center"/>
          </w:tcPr>
          <w:p>
            <w:pPr>
              <w:pStyle w:val="16"/>
              <w:rPr>
                <w:color w:val="auto"/>
              </w:rPr>
            </w:pPr>
            <w:r>
              <w:rPr>
                <w:color w:val="auto"/>
              </w:rPr>
              <w:t>拌合站</w:t>
            </w:r>
          </w:p>
        </w:tc>
        <w:tc>
          <w:tcPr>
            <w:tcW w:w="1624" w:type="dxa"/>
            <w:gridSpan w:val="2"/>
            <w:vAlign w:val="center"/>
          </w:tcPr>
          <w:p>
            <w:pPr>
              <w:pStyle w:val="16"/>
              <w:rPr>
                <w:color w:val="auto"/>
              </w:rPr>
            </w:pPr>
            <w:r>
              <w:rPr>
                <w:color w:val="auto"/>
              </w:rPr>
              <w:t>0.45</w:t>
            </w:r>
          </w:p>
        </w:tc>
        <w:tc>
          <w:tcPr>
            <w:tcW w:w="1962" w:type="dxa"/>
            <w:gridSpan w:val="3"/>
            <w:vAlign w:val="center"/>
          </w:tcPr>
          <w:p>
            <w:pPr>
              <w:pStyle w:val="16"/>
              <w:rPr>
                <w:color w:val="auto"/>
              </w:rPr>
            </w:pPr>
            <w:r>
              <w:rPr>
                <w:color w:val="auto"/>
              </w:rPr>
              <w:t>0.15</w:t>
            </w:r>
          </w:p>
        </w:tc>
        <w:tc>
          <w:tcPr>
            <w:tcW w:w="1931" w:type="dxa"/>
            <w:vAlign w:val="center"/>
          </w:tcPr>
          <w:p>
            <w:pPr>
              <w:pStyle w:val="16"/>
              <w:rPr>
                <w:color w:val="auto"/>
              </w:rPr>
            </w:pPr>
            <w:r>
              <w:rPr>
                <w:color w:val="auto"/>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5" w:type="dxa"/>
            <w:gridSpan w:val="4"/>
            <w:vAlign w:val="center"/>
          </w:tcPr>
          <w:p>
            <w:pPr>
              <w:pStyle w:val="16"/>
              <w:rPr>
                <w:color w:val="auto"/>
              </w:rPr>
            </w:pPr>
            <w:r>
              <w:rPr>
                <w:color w:val="auto"/>
              </w:rPr>
              <w:t>合计</w:t>
            </w:r>
          </w:p>
        </w:tc>
        <w:tc>
          <w:tcPr>
            <w:tcW w:w="1624" w:type="dxa"/>
            <w:gridSpan w:val="2"/>
            <w:vAlign w:val="center"/>
          </w:tcPr>
          <w:p>
            <w:pPr>
              <w:pStyle w:val="16"/>
              <w:rPr>
                <w:color w:val="auto"/>
              </w:rPr>
            </w:pPr>
            <w:r>
              <w:rPr>
                <w:color w:val="auto"/>
              </w:rPr>
              <w:t>72.34</w:t>
            </w:r>
          </w:p>
        </w:tc>
        <w:tc>
          <w:tcPr>
            <w:tcW w:w="1962" w:type="dxa"/>
            <w:gridSpan w:val="3"/>
            <w:vAlign w:val="center"/>
          </w:tcPr>
          <w:p>
            <w:pPr>
              <w:pStyle w:val="16"/>
              <w:rPr>
                <w:color w:val="auto"/>
              </w:rPr>
            </w:pPr>
          </w:p>
        </w:tc>
        <w:tc>
          <w:tcPr>
            <w:tcW w:w="1931" w:type="dxa"/>
            <w:vAlign w:val="center"/>
          </w:tcPr>
          <w:p>
            <w:pPr>
              <w:pStyle w:val="16"/>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10"/>
            <w:vAlign w:val="center"/>
          </w:tcPr>
          <w:p>
            <w:pPr>
              <w:pStyle w:val="16"/>
              <w:rPr>
                <w:color w:val="auto"/>
              </w:rPr>
            </w:pPr>
            <w:r>
              <w:rPr>
                <w:color w:val="auto"/>
              </w:rPr>
              <w:t>三、土石方挖填工程量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1" w:type="dxa"/>
            <w:gridSpan w:val="2"/>
            <w:vMerge w:val="restart"/>
            <w:vAlign w:val="center"/>
          </w:tcPr>
          <w:p>
            <w:pPr>
              <w:pStyle w:val="16"/>
              <w:rPr>
                <w:color w:val="auto"/>
              </w:rPr>
            </w:pPr>
            <w:r>
              <w:rPr>
                <w:color w:val="auto"/>
              </w:rPr>
              <w:t>土石方（万m3）</w:t>
            </w:r>
          </w:p>
        </w:tc>
        <w:tc>
          <w:tcPr>
            <w:tcW w:w="1440" w:type="dxa"/>
            <w:gridSpan w:val="3"/>
            <w:vAlign w:val="center"/>
          </w:tcPr>
          <w:p>
            <w:pPr>
              <w:pStyle w:val="16"/>
              <w:rPr>
                <w:color w:val="auto"/>
              </w:rPr>
            </w:pPr>
            <w:r>
              <w:rPr>
                <w:color w:val="auto"/>
              </w:rPr>
              <w:t>挖方</w:t>
            </w:r>
          </w:p>
        </w:tc>
        <w:tc>
          <w:tcPr>
            <w:tcW w:w="1379" w:type="dxa"/>
            <w:gridSpan w:val="3"/>
            <w:vAlign w:val="center"/>
          </w:tcPr>
          <w:p>
            <w:pPr>
              <w:pStyle w:val="16"/>
              <w:rPr>
                <w:color w:val="auto"/>
              </w:rPr>
            </w:pPr>
            <w:r>
              <w:rPr>
                <w:color w:val="auto"/>
              </w:rPr>
              <w:t>填方</w:t>
            </w:r>
          </w:p>
        </w:tc>
        <w:tc>
          <w:tcPr>
            <w:tcW w:w="981" w:type="dxa"/>
            <w:vAlign w:val="center"/>
          </w:tcPr>
          <w:p>
            <w:pPr>
              <w:pStyle w:val="16"/>
              <w:rPr>
                <w:rFonts w:hint="eastAsia" w:eastAsia="仿宋_GB2312"/>
                <w:color w:val="auto"/>
                <w:lang w:eastAsia="zh-CN"/>
              </w:rPr>
            </w:pPr>
            <w:r>
              <w:rPr>
                <w:rFonts w:hint="eastAsia"/>
                <w:color w:val="auto"/>
                <w:lang w:eastAsia="zh-CN"/>
              </w:rPr>
              <w:t>外借</w:t>
            </w:r>
          </w:p>
        </w:tc>
        <w:tc>
          <w:tcPr>
            <w:tcW w:w="1931" w:type="dxa"/>
            <w:vAlign w:val="center"/>
          </w:tcPr>
          <w:p>
            <w:pPr>
              <w:pStyle w:val="16"/>
              <w:rPr>
                <w:color w:val="auto"/>
              </w:rPr>
            </w:pPr>
            <w:r>
              <w:rPr>
                <w:color w:val="auto"/>
              </w:rPr>
              <w:t>弃方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1" w:type="dxa"/>
            <w:gridSpan w:val="2"/>
            <w:vMerge w:val="continue"/>
            <w:vAlign w:val="center"/>
          </w:tcPr>
          <w:p>
            <w:pPr>
              <w:pStyle w:val="16"/>
              <w:rPr>
                <w:color w:val="auto"/>
              </w:rPr>
            </w:pPr>
          </w:p>
        </w:tc>
        <w:tc>
          <w:tcPr>
            <w:tcW w:w="1440" w:type="dxa"/>
            <w:gridSpan w:val="3"/>
            <w:vAlign w:val="center"/>
          </w:tcPr>
          <w:p>
            <w:pPr>
              <w:pStyle w:val="16"/>
              <w:rPr>
                <w:color w:val="auto"/>
              </w:rPr>
            </w:pPr>
            <w:r>
              <w:rPr>
                <w:rFonts w:hint="eastAsia"/>
                <w:color w:val="auto"/>
                <w:lang w:val="en-US" w:eastAsia="zh-CN"/>
              </w:rPr>
              <w:t>78.85</w:t>
            </w:r>
          </w:p>
        </w:tc>
        <w:tc>
          <w:tcPr>
            <w:tcW w:w="1379" w:type="dxa"/>
            <w:gridSpan w:val="3"/>
            <w:vAlign w:val="center"/>
          </w:tcPr>
          <w:p>
            <w:pPr>
              <w:pStyle w:val="16"/>
              <w:rPr>
                <w:color w:val="auto"/>
              </w:rPr>
            </w:pPr>
            <w:r>
              <w:rPr>
                <w:rFonts w:hint="eastAsia"/>
                <w:color w:val="auto"/>
                <w:lang w:val="en-US" w:eastAsia="zh-CN"/>
              </w:rPr>
              <w:t>32.45</w:t>
            </w:r>
          </w:p>
        </w:tc>
        <w:tc>
          <w:tcPr>
            <w:tcW w:w="981" w:type="dxa"/>
            <w:vAlign w:val="center"/>
          </w:tcPr>
          <w:p>
            <w:pPr>
              <w:pStyle w:val="16"/>
              <w:rPr>
                <w:rFonts w:hint="eastAsia"/>
                <w:color w:val="auto"/>
                <w:lang w:val="en-US" w:eastAsia="zh-CN"/>
              </w:rPr>
            </w:pPr>
            <w:r>
              <w:rPr>
                <w:rFonts w:hint="eastAsia"/>
                <w:color w:val="auto"/>
                <w:lang w:val="en-US" w:eastAsia="zh-CN"/>
              </w:rPr>
              <w:t>8.90</w:t>
            </w:r>
          </w:p>
        </w:tc>
        <w:tc>
          <w:tcPr>
            <w:tcW w:w="1931" w:type="dxa"/>
            <w:vAlign w:val="bottom"/>
          </w:tcPr>
          <w:p>
            <w:pPr>
              <w:pStyle w:val="16"/>
              <w:rPr>
                <w:color w:val="auto"/>
              </w:rPr>
            </w:pPr>
            <w:r>
              <w:rPr>
                <w:rFonts w:hint="eastAsia"/>
                <w:color w:val="auto"/>
                <w:lang w:val="en-US" w:eastAsia="zh-CN"/>
              </w:rPr>
              <w:t>55.30</w:t>
            </w:r>
          </w:p>
        </w:tc>
      </w:tr>
    </w:tbl>
    <w:p>
      <w:pPr>
        <w:pStyle w:val="7"/>
        <w:rPr>
          <w:rFonts w:ascii="Times New Roman" w:hAnsi="Times New Roman" w:eastAsia="仿宋_GB2312" w:cs="Times New Roman"/>
          <w:color w:val="auto"/>
          <w:spacing w:val="0"/>
          <w:sz w:val="24"/>
          <w:szCs w:val="28"/>
          <w:lang w:eastAsia="zh-CN"/>
        </w:rPr>
      </w:pPr>
    </w:p>
    <w:p>
      <w:pPr>
        <w:pStyle w:val="4"/>
        <w:rPr>
          <w:rFonts w:hint="eastAsia" w:eastAsia="黑体"/>
          <w:color w:val="auto"/>
          <w:lang w:val="en-US" w:eastAsia="zh-CN"/>
        </w:rPr>
      </w:pPr>
      <w:r>
        <w:rPr>
          <w:rFonts w:hint="default"/>
          <w:color w:val="auto"/>
        </w:rPr>
        <w:t>1.1.3项目组成及</w:t>
      </w:r>
      <w:bookmarkEnd w:id="12"/>
      <w:r>
        <w:rPr>
          <w:rFonts w:hint="eastAsia"/>
          <w:color w:val="auto"/>
          <w:lang w:eastAsia="zh-CN"/>
        </w:rPr>
        <w:t>分区</w:t>
      </w:r>
    </w:p>
    <w:p>
      <w:pPr>
        <w:numPr>
          <w:ilvl w:val="0"/>
          <w:numId w:val="1"/>
        </w:numPr>
        <w:bidi w:val="0"/>
        <w:rPr>
          <w:color w:val="auto"/>
        </w:rPr>
      </w:pPr>
      <w:r>
        <w:rPr>
          <w:rFonts w:hint="eastAsia"/>
          <w:color w:val="auto"/>
          <w:lang w:val="en-US" w:eastAsia="zh-CN"/>
        </w:rPr>
        <w:t>项目组成</w:t>
      </w:r>
    </w:p>
    <w:p>
      <w:pPr>
        <w:bidi w:val="0"/>
        <w:rPr>
          <w:rFonts w:hint="eastAsia"/>
          <w:color w:val="auto"/>
          <w:lang w:val="en-US" w:eastAsia="zh-CN"/>
        </w:rPr>
      </w:pPr>
      <w:r>
        <w:rPr>
          <w:rFonts w:hint="eastAsia"/>
          <w:color w:val="auto"/>
          <w:lang w:val="en-US" w:eastAsia="zh-CN"/>
        </w:rPr>
        <w:t>本项目建设主要为道路工程、桥梁工程，不涉及隧道，此外还有取料场、弃渣场及施工用水用电等设施。</w:t>
      </w:r>
    </w:p>
    <w:p>
      <w:pPr>
        <w:rPr>
          <w:rFonts w:hint="eastAsia"/>
          <w:color w:val="auto"/>
          <w:lang w:val="en-US" w:eastAsia="zh-CN"/>
        </w:rPr>
      </w:pPr>
      <w:r>
        <w:rPr>
          <w:rFonts w:hint="eastAsia"/>
          <w:color w:val="auto"/>
          <w:lang w:val="en-US" w:eastAsia="zh-CN"/>
        </w:rPr>
        <w:t>1、道路工程</w:t>
      </w:r>
    </w:p>
    <w:p>
      <w:pPr>
        <w:rPr>
          <w:rFonts w:hint="eastAsia"/>
          <w:color w:val="auto"/>
          <w:lang w:val="en-US" w:eastAsia="zh-CN"/>
        </w:rPr>
      </w:pPr>
      <w:r>
        <w:rPr>
          <w:rFonts w:hint="eastAsia"/>
          <w:color w:val="auto"/>
          <w:lang w:val="en-US" w:eastAsia="zh-CN"/>
        </w:rPr>
        <w:t>根据主体设计资料，本项目道路宽度为8.5米，计算行车速度40公里/小时。道路全长39.302公里，其中新建道路3.263km，利用老路拓宽改建34.951km，完全利用G320公路0.688km，利用X623线改扩建0.4km，老路利用率为91.70%，路基工程区占地65.31hm</w:t>
      </w:r>
      <w:r>
        <w:rPr>
          <w:rFonts w:hint="eastAsia"/>
          <w:color w:val="auto"/>
          <w:vertAlign w:val="superscript"/>
          <w:lang w:val="en-US" w:eastAsia="zh-CN"/>
        </w:rPr>
        <w:t>2</w:t>
      </w:r>
      <w:r>
        <w:rPr>
          <w:rFonts w:hint="eastAsia"/>
          <w:color w:val="auto"/>
          <w:lang w:val="en-US" w:eastAsia="zh-CN"/>
        </w:rPr>
        <w:t>，其中原道路宽度为6.5-7.5m之间。</w:t>
      </w:r>
    </w:p>
    <w:p>
      <w:pPr>
        <w:rPr>
          <w:rFonts w:hint="eastAsia"/>
          <w:color w:val="auto"/>
          <w:lang w:val="en-US" w:eastAsia="zh-CN"/>
        </w:rPr>
      </w:pPr>
      <w:r>
        <w:rPr>
          <w:rFonts w:hint="eastAsia"/>
          <w:color w:val="auto"/>
          <w:lang w:val="en-US" w:eastAsia="zh-CN"/>
        </w:rPr>
        <w:t>鉴于本项目的重要地位及所经区域地形、地质条件，结合工可报告的研究结论，全线路基宽度为8.5米。道面布置为：</w:t>
      </w:r>
    </w:p>
    <w:p>
      <w:pPr>
        <w:rPr>
          <w:rFonts w:hint="eastAsia"/>
          <w:color w:val="auto"/>
          <w:lang w:val="en-US" w:eastAsia="zh-CN"/>
        </w:rPr>
      </w:pPr>
      <w:r>
        <w:rPr>
          <w:rFonts w:hint="eastAsia"/>
          <w:color w:val="auto"/>
          <w:lang w:val="en-US" w:eastAsia="zh-CN"/>
        </w:rPr>
        <w:t>0.75米（加固土路肩）+2×3.5米（行车道）+0.75米（加固土路肩），路拱及路肩横坡采用2％；</w:t>
      </w:r>
    </w:p>
    <w:p>
      <w:pPr>
        <w:rPr>
          <w:rFonts w:hint="eastAsia"/>
          <w:color w:val="auto"/>
          <w:lang w:val="en-US" w:eastAsia="zh-CN"/>
        </w:rPr>
      </w:pPr>
      <w:r>
        <w:rPr>
          <w:rFonts w:hint="eastAsia"/>
          <w:color w:val="auto"/>
          <w:lang w:val="en-US" w:eastAsia="zh-CN"/>
        </w:rPr>
        <w:t>路基设计标高为路基中心线标高，超高绕道路中线旋转，平曲线超高按部颁《公路路线设计规范》进行超高设置，平曲线加宽采用第3类加宽值，设置混凝土护栏路段路基加宽50cm，设置波形梁护栏路段路基加宽25cm。回头曲线路段加宽根据每个弯道的地形，以利用原有路基，加宽值为2.5-6米。</w:t>
      </w:r>
    </w:p>
    <w:p>
      <w:pPr>
        <w:rPr>
          <w:rFonts w:hint="eastAsia"/>
          <w:color w:val="auto"/>
          <w:lang w:val="en-US" w:eastAsia="zh-CN"/>
        </w:rPr>
      </w:pPr>
      <w:r>
        <w:rPr>
          <w:rFonts w:hint="eastAsia"/>
          <w:color w:val="auto"/>
          <w:lang w:val="en-US" w:eastAsia="zh-CN"/>
        </w:rPr>
        <w:t>综上所述，根据业主提供的红线范围，施工方案设计中本项目道路全长39.30km，设计路基宽度8.5m，主体设计路基工程区占地面积65.16hm2，全部为永久占地。</w:t>
      </w:r>
    </w:p>
    <w:p>
      <w:pPr>
        <w:rPr>
          <w:rFonts w:hint="eastAsia"/>
          <w:color w:val="auto"/>
          <w:lang w:val="en-US" w:eastAsia="zh-CN"/>
        </w:rPr>
      </w:pPr>
      <w:r>
        <w:rPr>
          <w:rFonts w:hint="eastAsia"/>
          <w:color w:val="auto"/>
          <w:lang w:val="en-US" w:eastAsia="zh-CN"/>
        </w:rPr>
        <w:t>2、桥梁工程</w:t>
      </w:r>
    </w:p>
    <w:p>
      <w:pPr>
        <w:rPr>
          <w:rFonts w:hint="eastAsia"/>
          <w:color w:val="auto"/>
          <w:lang w:val="en-US" w:eastAsia="zh-CN"/>
        </w:rPr>
      </w:pPr>
      <w:r>
        <w:rPr>
          <w:rFonts w:hint="eastAsia"/>
          <w:color w:val="auto"/>
          <w:lang w:val="en-US" w:eastAsia="zh-CN"/>
        </w:rPr>
        <w:t>本项目道路沿线新建桥梁2座，其中在K0+104.5处跨越大桥河设置江西坡中桥，桥长60m；在K38+780处跨越罗细河设置三板桥小桥，桥长36m。主体设计桥梁工程区占地总面积0.19hm</w:t>
      </w:r>
      <w:r>
        <w:rPr>
          <w:rFonts w:hint="eastAsia"/>
          <w:color w:val="auto"/>
          <w:vertAlign w:val="superscript"/>
          <w:lang w:val="en-US" w:eastAsia="zh-CN"/>
        </w:rPr>
        <w:t>2</w:t>
      </w:r>
      <w:r>
        <w:rPr>
          <w:rFonts w:hint="eastAsia"/>
          <w:color w:val="auto"/>
          <w:lang w:val="en-US" w:eastAsia="zh-CN"/>
        </w:rPr>
        <w:t>，全部为永久占地。</w:t>
      </w:r>
    </w:p>
    <w:p>
      <w:pPr>
        <w:rPr>
          <w:rFonts w:hint="eastAsia"/>
          <w:color w:val="auto"/>
          <w:lang w:val="en-US" w:eastAsia="zh-CN"/>
        </w:rPr>
      </w:pPr>
      <w:r>
        <w:rPr>
          <w:rFonts w:hint="eastAsia"/>
          <w:color w:val="auto"/>
          <w:lang w:val="en-US" w:eastAsia="zh-CN"/>
        </w:rPr>
        <w:t>3、弃渣场</w:t>
      </w:r>
    </w:p>
    <w:p>
      <w:pPr>
        <w:rPr>
          <w:rFonts w:hint="eastAsia"/>
          <w:color w:val="auto"/>
          <w:lang w:val="en-US" w:eastAsia="zh-CN"/>
        </w:rPr>
      </w:pPr>
      <w:r>
        <w:rPr>
          <w:rFonts w:hint="eastAsia"/>
          <w:color w:val="auto"/>
          <w:lang w:val="en-US" w:eastAsia="zh-CN"/>
        </w:rPr>
        <w:t>主体设计资料，主体设计8处弃渣场，占地面积约5.71hm</w:t>
      </w:r>
      <w:r>
        <w:rPr>
          <w:rFonts w:hint="eastAsia"/>
          <w:color w:val="auto"/>
          <w:vertAlign w:val="superscript"/>
          <w:lang w:val="en-US" w:eastAsia="zh-CN"/>
        </w:rPr>
        <w:t>2</w:t>
      </w:r>
      <w:r>
        <w:rPr>
          <w:rFonts w:hint="eastAsia"/>
          <w:color w:val="auto"/>
          <w:lang w:val="en-US" w:eastAsia="zh-CN"/>
        </w:rPr>
        <w:t>，全部为永久占地。根据现场踏勘，本项目实际使用弃土场6个，占地面积4.15</w:t>
      </w:r>
      <w:r>
        <w:rPr>
          <w:color w:val="auto"/>
        </w:rPr>
        <w:t>hm</w:t>
      </w:r>
      <w:r>
        <w:rPr>
          <w:rFonts w:hint="eastAsia"/>
          <w:color w:val="auto"/>
          <w:vertAlign w:val="superscript"/>
          <w:lang w:val="en-US" w:eastAsia="zh-CN"/>
        </w:rPr>
        <w:t>2</w:t>
      </w:r>
      <w:r>
        <w:rPr>
          <w:rFonts w:hint="eastAsia"/>
          <w:color w:val="auto"/>
          <w:lang w:eastAsia="zh-CN"/>
        </w:rPr>
        <w:t>，</w:t>
      </w:r>
      <w:r>
        <w:rPr>
          <w:rFonts w:hint="eastAsia"/>
          <w:color w:val="auto"/>
          <w:lang w:val="en-US" w:eastAsia="zh-CN"/>
        </w:rPr>
        <w:t>总弃渣量32.3万m</w:t>
      </w:r>
      <w:r>
        <w:rPr>
          <w:rFonts w:hint="eastAsia"/>
          <w:color w:val="auto"/>
          <w:vertAlign w:val="superscript"/>
          <w:lang w:val="en-US" w:eastAsia="zh-CN"/>
        </w:rPr>
        <w:t>3</w:t>
      </w:r>
      <w:r>
        <w:rPr>
          <w:rFonts w:hint="eastAsia"/>
          <w:color w:val="auto"/>
          <w:lang w:val="en-US" w:eastAsia="zh-CN"/>
        </w:rPr>
        <w:t>，其中6#弃土场占地0.31hm</w:t>
      </w:r>
      <w:r>
        <w:rPr>
          <w:rFonts w:hint="eastAsia"/>
          <w:color w:val="auto"/>
          <w:vertAlign w:val="superscript"/>
          <w:lang w:val="en-US" w:eastAsia="zh-CN"/>
        </w:rPr>
        <w:t>2</w:t>
      </w:r>
      <w:r>
        <w:rPr>
          <w:rFonts w:hint="eastAsia"/>
          <w:color w:val="auto"/>
          <w:lang w:val="en-US" w:eastAsia="zh-CN"/>
        </w:rPr>
        <w:t>，已被西城区教育城项目征用，4#弃土场占地已被0.34hm</w:t>
      </w:r>
      <w:r>
        <w:rPr>
          <w:rFonts w:hint="eastAsia"/>
          <w:color w:val="auto"/>
          <w:vertAlign w:val="superscript"/>
          <w:lang w:val="en-US" w:eastAsia="zh-CN"/>
        </w:rPr>
        <w:t>2</w:t>
      </w:r>
      <w:r>
        <w:rPr>
          <w:rFonts w:hint="eastAsia"/>
          <w:color w:val="auto"/>
          <w:lang w:val="en-US" w:eastAsia="zh-CN"/>
        </w:rPr>
        <w:t>，已被九峰兔业养殖场征用。因此。本项目剩余4个弃土场，占地面积3.21hm</w:t>
      </w:r>
      <w:r>
        <w:rPr>
          <w:rFonts w:hint="eastAsia"/>
          <w:color w:val="auto"/>
          <w:vertAlign w:val="superscript"/>
          <w:lang w:val="en-US" w:eastAsia="zh-CN"/>
        </w:rPr>
        <w:t>2</w:t>
      </w:r>
      <w:r>
        <w:rPr>
          <w:rFonts w:hint="eastAsia"/>
          <w:color w:val="auto"/>
          <w:lang w:val="en-US" w:eastAsia="zh-CN"/>
        </w:rPr>
        <w:t>，弃渣场量25万m</w:t>
      </w:r>
      <w:r>
        <w:rPr>
          <w:rFonts w:hint="eastAsia"/>
          <w:color w:val="auto"/>
          <w:vertAlign w:val="superscript"/>
          <w:lang w:val="en-US" w:eastAsia="zh-CN"/>
        </w:rPr>
        <w:t>3</w:t>
      </w:r>
      <w:r>
        <w:rPr>
          <w:rFonts w:hint="eastAsia"/>
          <w:color w:val="auto"/>
          <w:lang w:val="en-US" w:eastAsia="zh-CN"/>
        </w:rPr>
        <w:t>。</w:t>
      </w:r>
    </w:p>
    <w:p>
      <w:pPr>
        <w:pStyle w:val="17"/>
        <w:rPr>
          <w:rFonts w:hint="eastAsia"/>
          <w:color w:val="auto"/>
          <w:lang w:val="en-US" w:eastAsia="zh-CN"/>
        </w:rPr>
      </w:pPr>
      <w:r>
        <w:rPr>
          <w:rFonts w:hint="eastAsia"/>
          <w:color w:val="auto"/>
          <w:lang w:val="en-US" w:eastAsia="zh-CN"/>
        </w:rPr>
        <w:t>表1-2 方案设计弃渣场情况表</w:t>
      </w:r>
    </w:p>
    <w:tbl>
      <w:tblPr>
        <w:tblStyle w:val="11"/>
        <w:tblW w:w="9003"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18"/>
        <w:gridCol w:w="1085"/>
        <w:gridCol w:w="1179"/>
        <w:gridCol w:w="1186"/>
        <w:gridCol w:w="1171"/>
        <w:gridCol w:w="655"/>
        <w:gridCol w:w="300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718" w:type="dxa"/>
            <w:vMerge w:val="restart"/>
            <w:tcBorders>
              <w:tl2br w:val="nil"/>
              <w:tr2bl w:val="nil"/>
            </w:tcBorders>
            <w:vAlign w:val="center"/>
          </w:tcPr>
          <w:p>
            <w:pPr>
              <w:pStyle w:val="16"/>
              <w:rPr>
                <w:color w:val="auto"/>
              </w:rPr>
            </w:pPr>
            <w:r>
              <w:rPr>
                <w:color w:val="auto"/>
              </w:rPr>
              <w:t>编号</w:t>
            </w:r>
          </w:p>
        </w:tc>
        <w:tc>
          <w:tcPr>
            <w:tcW w:w="4621" w:type="dxa"/>
            <w:gridSpan w:val="4"/>
            <w:tcBorders>
              <w:tl2br w:val="nil"/>
              <w:tr2bl w:val="nil"/>
            </w:tcBorders>
            <w:vAlign w:val="center"/>
          </w:tcPr>
          <w:p>
            <w:pPr>
              <w:pStyle w:val="16"/>
              <w:rPr>
                <w:color w:val="auto"/>
              </w:rPr>
            </w:pPr>
            <w:r>
              <w:rPr>
                <w:color w:val="auto"/>
              </w:rPr>
              <w:t>主体已实施</w:t>
            </w:r>
          </w:p>
        </w:tc>
        <w:tc>
          <w:tcPr>
            <w:tcW w:w="655" w:type="dxa"/>
            <w:tcBorders>
              <w:tl2br w:val="nil"/>
              <w:tr2bl w:val="nil"/>
            </w:tcBorders>
            <w:vAlign w:val="center"/>
          </w:tcPr>
          <w:p>
            <w:pPr>
              <w:pStyle w:val="16"/>
              <w:rPr>
                <w:color w:val="auto"/>
              </w:rPr>
            </w:pPr>
          </w:p>
        </w:tc>
        <w:tc>
          <w:tcPr>
            <w:tcW w:w="3009" w:type="dxa"/>
            <w:vMerge w:val="restart"/>
            <w:tcBorders>
              <w:tl2br w:val="nil"/>
              <w:tr2bl w:val="nil"/>
            </w:tcBorders>
            <w:vAlign w:val="center"/>
          </w:tcPr>
          <w:p>
            <w:pPr>
              <w:pStyle w:val="16"/>
              <w:rPr>
                <w:color w:val="auto"/>
              </w:rPr>
            </w:pPr>
            <w:r>
              <w:rPr>
                <w:color w:val="auto"/>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718" w:type="dxa"/>
            <w:vMerge w:val="continue"/>
            <w:tcBorders>
              <w:tl2br w:val="nil"/>
              <w:tr2bl w:val="nil"/>
            </w:tcBorders>
            <w:vAlign w:val="center"/>
          </w:tcPr>
          <w:p>
            <w:pPr>
              <w:pStyle w:val="16"/>
              <w:rPr>
                <w:color w:val="auto"/>
              </w:rPr>
            </w:pPr>
          </w:p>
        </w:tc>
        <w:tc>
          <w:tcPr>
            <w:tcW w:w="1085" w:type="dxa"/>
            <w:tcBorders>
              <w:tl2br w:val="nil"/>
              <w:tr2bl w:val="nil"/>
            </w:tcBorders>
            <w:vAlign w:val="center"/>
          </w:tcPr>
          <w:p>
            <w:pPr>
              <w:pStyle w:val="16"/>
              <w:rPr>
                <w:color w:val="auto"/>
              </w:rPr>
            </w:pPr>
            <w:r>
              <w:rPr>
                <w:color w:val="auto"/>
              </w:rPr>
              <w:t>弃土地段</w:t>
            </w:r>
          </w:p>
          <w:p>
            <w:pPr>
              <w:pStyle w:val="16"/>
              <w:rPr>
                <w:color w:val="auto"/>
              </w:rPr>
            </w:pPr>
            <w:r>
              <w:rPr>
                <w:color w:val="auto"/>
              </w:rPr>
              <w:t>起迄桩号</w:t>
            </w:r>
          </w:p>
        </w:tc>
        <w:tc>
          <w:tcPr>
            <w:tcW w:w="1179" w:type="dxa"/>
            <w:tcBorders>
              <w:tl2br w:val="nil"/>
              <w:tr2bl w:val="nil"/>
            </w:tcBorders>
            <w:vAlign w:val="center"/>
          </w:tcPr>
          <w:p>
            <w:pPr>
              <w:pStyle w:val="16"/>
              <w:rPr>
                <w:color w:val="auto"/>
              </w:rPr>
            </w:pPr>
            <w:r>
              <w:rPr>
                <w:color w:val="auto"/>
              </w:rPr>
              <w:t>占地面积（hm</w:t>
            </w:r>
            <w:r>
              <w:rPr>
                <w:color w:val="auto"/>
                <w:vertAlign w:val="superscript"/>
              </w:rPr>
              <w:t>2</w:t>
            </w:r>
            <w:r>
              <w:rPr>
                <w:color w:val="auto"/>
              </w:rPr>
              <w:t>）</w:t>
            </w:r>
          </w:p>
        </w:tc>
        <w:tc>
          <w:tcPr>
            <w:tcW w:w="1186" w:type="dxa"/>
            <w:tcBorders>
              <w:tl2br w:val="nil"/>
              <w:tr2bl w:val="nil"/>
            </w:tcBorders>
            <w:vAlign w:val="center"/>
          </w:tcPr>
          <w:p>
            <w:pPr>
              <w:pStyle w:val="16"/>
              <w:rPr>
                <w:color w:val="auto"/>
              </w:rPr>
            </w:pPr>
            <w:r>
              <w:rPr>
                <w:color w:val="auto"/>
              </w:rPr>
              <w:t>实际堆渣</w:t>
            </w:r>
          </w:p>
          <w:p>
            <w:pPr>
              <w:pStyle w:val="16"/>
              <w:rPr>
                <w:color w:val="auto"/>
              </w:rPr>
            </w:pPr>
            <w:r>
              <w:rPr>
                <w:color w:val="auto"/>
              </w:rPr>
              <w:t>（万m</w:t>
            </w:r>
            <w:r>
              <w:rPr>
                <w:color w:val="auto"/>
                <w:vertAlign w:val="superscript"/>
              </w:rPr>
              <w:t>3</w:t>
            </w:r>
            <w:r>
              <w:rPr>
                <w:color w:val="auto"/>
              </w:rPr>
              <w:t>）</w:t>
            </w:r>
          </w:p>
        </w:tc>
        <w:tc>
          <w:tcPr>
            <w:tcW w:w="1171" w:type="dxa"/>
            <w:tcBorders>
              <w:tl2br w:val="nil"/>
              <w:tr2bl w:val="nil"/>
            </w:tcBorders>
            <w:vAlign w:val="center"/>
          </w:tcPr>
          <w:p>
            <w:pPr>
              <w:pStyle w:val="16"/>
              <w:rPr>
                <w:color w:val="auto"/>
              </w:rPr>
            </w:pPr>
            <w:r>
              <w:rPr>
                <w:color w:val="auto"/>
              </w:rPr>
              <w:t>施工便道（m）</w:t>
            </w:r>
          </w:p>
        </w:tc>
        <w:tc>
          <w:tcPr>
            <w:tcW w:w="655" w:type="dxa"/>
            <w:tcBorders>
              <w:tl2br w:val="nil"/>
              <w:tr2bl w:val="nil"/>
            </w:tcBorders>
            <w:vAlign w:val="center"/>
          </w:tcPr>
          <w:p>
            <w:pPr>
              <w:pStyle w:val="16"/>
              <w:rPr>
                <w:color w:val="auto"/>
              </w:rPr>
            </w:pPr>
            <w:r>
              <w:rPr>
                <w:color w:val="auto"/>
              </w:rPr>
              <w:t>位置</w:t>
            </w:r>
          </w:p>
        </w:tc>
        <w:tc>
          <w:tcPr>
            <w:tcW w:w="3009" w:type="dxa"/>
            <w:vMerge w:val="continue"/>
            <w:tcBorders>
              <w:tl2br w:val="nil"/>
              <w:tr2bl w:val="nil"/>
            </w:tcBorders>
            <w:vAlign w:val="center"/>
          </w:tcPr>
          <w:p>
            <w:pPr>
              <w:pStyle w:val="16"/>
              <w:rPr>
                <w:color w:val="auto"/>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718" w:type="dxa"/>
            <w:tcBorders>
              <w:tl2br w:val="nil"/>
              <w:tr2bl w:val="nil"/>
            </w:tcBorders>
            <w:shd w:val="clear" w:color="auto" w:fill="auto"/>
            <w:vAlign w:val="center"/>
          </w:tcPr>
          <w:p>
            <w:pPr>
              <w:pStyle w:val="16"/>
              <w:rPr>
                <w:color w:val="auto"/>
              </w:rPr>
            </w:pPr>
            <w:r>
              <w:rPr>
                <w:color w:val="auto"/>
              </w:rPr>
              <w:t>1#</w:t>
            </w:r>
          </w:p>
        </w:tc>
        <w:tc>
          <w:tcPr>
            <w:tcW w:w="1085" w:type="dxa"/>
            <w:tcBorders>
              <w:tl2br w:val="nil"/>
              <w:tr2bl w:val="nil"/>
            </w:tcBorders>
            <w:shd w:val="clear" w:color="000000" w:fill="FFFFFF"/>
            <w:vAlign w:val="center"/>
          </w:tcPr>
          <w:p>
            <w:pPr>
              <w:pStyle w:val="16"/>
              <w:rPr>
                <w:color w:val="auto"/>
              </w:rPr>
            </w:pPr>
            <w:r>
              <w:rPr>
                <w:color w:val="auto"/>
              </w:rPr>
              <w:t>K4+100</w:t>
            </w:r>
          </w:p>
        </w:tc>
        <w:tc>
          <w:tcPr>
            <w:tcW w:w="1179" w:type="dxa"/>
            <w:tcBorders>
              <w:tl2br w:val="nil"/>
              <w:tr2bl w:val="nil"/>
            </w:tcBorders>
            <w:vAlign w:val="center"/>
          </w:tcPr>
          <w:p>
            <w:pPr>
              <w:pStyle w:val="16"/>
              <w:rPr>
                <w:color w:val="auto"/>
              </w:rPr>
            </w:pPr>
            <w:r>
              <w:rPr>
                <w:color w:val="auto"/>
              </w:rPr>
              <w:t>0.46</w:t>
            </w:r>
          </w:p>
        </w:tc>
        <w:tc>
          <w:tcPr>
            <w:tcW w:w="1186" w:type="dxa"/>
            <w:tcBorders>
              <w:tl2br w:val="nil"/>
              <w:tr2bl w:val="nil"/>
            </w:tcBorders>
            <w:vAlign w:val="center"/>
          </w:tcPr>
          <w:p>
            <w:pPr>
              <w:pStyle w:val="16"/>
              <w:rPr>
                <w:color w:val="auto"/>
              </w:rPr>
            </w:pPr>
            <w:r>
              <w:rPr>
                <w:color w:val="auto"/>
              </w:rPr>
              <w:t>4.3</w:t>
            </w:r>
          </w:p>
        </w:tc>
        <w:tc>
          <w:tcPr>
            <w:tcW w:w="1171" w:type="dxa"/>
            <w:tcBorders>
              <w:tl2br w:val="nil"/>
              <w:tr2bl w:val="nil"/>
            </w:tcBorders>
            <w:vAlign w:val="center"/>
          </w:tcPr>
          <w:p>
            <w:pPr>
              <w:pStyle w:val="16"/>
              <w:rPr>
                <w:color w:val="auto"/>
              </w:rPr>
            </w:pPr>
            <w:r>
              <w:rPr>
                <w:color w:val="auto"/>
              </w:rPr>
              <w:t>无</w:t>
            </w:r>
          </w:p>
        </w:tc>
        <w:tc>
          <w:tcPr>
            <w:tcW w:w="655" w:type="dxa"/>
            <w:tcBorders>
              <w:tl2br w:val="nil"/>
              <w:tr2bl w:val="nil"/>
            </w:tcBorders>
            <w:vAlign w:val="center"/>
          </w:tcPr>
          <w:p>
            <w:pPr>
              <w:pStyle w:val="16"/>
              <w:rPr>
                <w:color w:val="auto"/>
              </w:rPr>
            </w:pPr>
            <w:r>
              <w:rPr>
                <w:color w:val="auto"/>
              </w:rPr>
              <w:t>左</w:t>
            </w:r>
          </w:p>
        </w:tc>
        <w:tc>
          <w:tcPr>
            <w:tcW w:w="3009" w:type="dxa"/>
            <w:tcBorders>
              <w:tl2br w:val="nil"/>
              <w:tr2bl w:val="nil"/>
            </w:tcBorders>
            <w:vAlign w:val="center"/>
          </w:tcPr>
          <w:p>
            <w:pPr>
              <w:pStyle w:val="16"/>
              <w:rPr>
                <w:rFonts w:hint="eastAsia" w:eastAsia="仿宋_GB2312"/>
                <w:color w:val="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718" w:type="dxa"/>
            <w:tcBorders>
              <w:tl2br w:val="nil"/>
              <w:tr2bl w:val="nil"/>
            </w:tcBorders>
            <w:shd w:val="clear" w:color="auto" w:fill="auto"/>
            <w:vAlign w:val="center"/>
          </w:tcPr>
          <w:p>
            <w:pPr>
              <w:pStyle w:val="16"/>
              <w:rPr>
                <w:color w:val="auto"/>
              </w:rPr>
            </w:pPr>
            <w:r>
              <w:rPr>
                <w:color w:val="auto"/>
              </w:rPr>
              <w:t>2#</w:t>
            </w:r>
          </w:p>
        </w:tc>
        <w:tc>
          <w:tcPr>
            <w:tcW w:w="1085" w:type="dxa"/>
            <w:tcBorders>
              <w:tl2br w:val="nil"/>
              <w:tr2bl w:val="nil"/>
            </w:tcBorders>
            <w:shd w:val="clear" w:color="000000" w:fill="FFFFFF"/>
            <w:vAlign w:val="center"/>
          </w:tcPr>
          <w:p>
            <w:pPr>
              <w:pStyle w:val="16"/>
              <w:rPr>
                <w:color w:val="auto"/>
              </w:rPr>
            </w:pPr>
            <w:r>
              <w:rPr>
                <w:color w:val="auto"/>
              </w:rPr>
              <w:t>K11+900</w:t>
            </w:r>
          </w:p>
        </w:tc>
        <w:tc>
          <w:tcPr>
            <w:tcW w:w="1179" w:type="dxa"/>
            <w:tcBorders>
              <w:tl2br w:val="nil"/>
              <w:tr2bl w:val="nil"/>
            </w:tcBorders>
            <w:vAlign w:val="center"/>
          </w:tcPr>
          <w:p>
            <w:pPr>
              <w:pStyle w:val="16"/>
              <w:rPr>
                <w:color w:val="auto"/>
              </w:rPr>
            </w:pPr>
            <w:r>
              <w:rPr>
                <w:color w:val="auto"/>
              </w:rPr>
              <w:t>0.79</w:t>
            </w:r>
          </w:p>
        </w:tc>
        <w:tc>
          <w:tcPr>
            <w:tcW w:w="1186" w:type="dxa"/>
            <w:tcBorders>
              <w:tl2br w:val="nil"/>
              <w:tr2bl w:val="nil"/>
            </w:tcBorders>
            <w:vAlign w:val="center"/>
          </w:tcPr>
          <w:p>
            <w:pPr>
              <w:pStyle w:val="16"/>
              <w:rPr>
                <w:color w:val="auto"/>
              </w:rPr>
            </w:pPr>
            <w:r>
              <w:rPr>
                <w:color w:val="auto"/>
              </w:rPr>
              <w:t>5.5</w:t>
            </w:r>
          </w:p>
        </w:tc>
        <w:tc>
          <w:tcPr>
            <w:tcW w:w="1171" w:type="dxa"/>
            <w:tcBorders>
              <w:tl2br w:val="nil"/>
              <w:tr2bl w:val="nil"/>
            </w:tcBorders>
            <w:vAlign w:val="center"/>
          </w:tcPr>
          <w:p>
            <w:pPr>
              <w:pStyle w:val="16"/>
              <w:rPr>
                <w:color w:val="auto"/>
              </w:rPr>
            </w:pPr>
            <w:r>
              <w:rPr>
                <w:color w:val="auto"/>
              </w:rPr>
              <w:t>无</w:t>
            </w:r>
          </w:p>
        </w:tc>
        <w:tc>
          <w:tcPr>
            <w:tcW w:w="655" w:type="dxa"/>
            <w:tcBorders>
              <w:tl2br w:val="nil"/>
              <w:tr2bl w:val="nil"/>
            </w:tcBorders>
            <w:vAlign w:val="center"/>
          </w:tcPr>
          <w:p>
            <w:pPr>
              <w:pStyle w:val="16"/>
              <w:rPr>
                <w:color w:val="auto"/>
              </w:rPr>
            </w:pPr>
            <w:r>
              <w:rPr>
                <w:color w:val="auto"/>
              </w:rPr>
              <w:t>左</w:t>
            </w:r>
          </w:p>
        </w:tc>
        <w:tc>
          <w:tcPr>
            <w:tcW w:w="3009" w:type="dxa"/>
            <w:tcBorders>
              <w:tl2br w:val="nil"/>
              <w:tr2bl w:val="nil"/>
            </w:tcBorders>
            <w:vAlign w:val="center"/>
          </w:tcPr>
          <w:p>
            <w:pPr>
              <w:pStyle w:val="16"/>
              <w:rPr>
                <w:color w:val="auto"/>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718" w:type="dxa"/>
            <w:tcBorders>
              <w:tl2br w:val="nil"/>
              <w:tr2bl w:val="nil"/>
            </w:tcBorders>
            <w:shd w:val="clear" w:color="auto" w:fill="auto"/>
            <w:vAlign w:val="center"/>
          </w:tcPr>
          <w:p>
            <w:pPr>
              <w:pStyle w:val="16"/>
              <w:rPr>
                <w:color w:val="auto"/>
              </w:rPr>
            </w:pPr>
            <w:r>
              <w:rPr>
                <w:color w:val="auto"/>
              </w:rPr>
              <w:t>3#</w:t>
            </w:r>
          </w:p>
        </w:tc>
        <w:tc>
          <w:tcPr>
            <w:tcW w:w="1085" w:type="dxa"/>
            <w:tcBorders>
              <w:tl2br w:val="nil"/>
              <w:tr2bl w:val="nil"/>
            </w:tcBorders>
            <w:shd w:val="clear" w:color="000000" w:fill="FFFFFF"/>
            <w:vAlign w:val="center"/>
          </w:tcPr>
          <w:p>
            <w:pPr>
              <w:pStyle w:val="16"/>
              <w:rPr>
                <w:color w:val="auto"/>
              </w:rPr>
            </w:pPr>
            <w:r>
              <w:rPr>
                <w:color w:val="auto"/>
              </w:rPr>
              <w:t>K28+285</w:t>
            </w:r>
          </w:p>
        </w:tc>
        <w:tc>
          <w:tcPr>
            <w:tcW w:w="1179" w:type="dxa"/>
            <w:tcBorders>
              <w:tl2br w:val="nil"/>
              <w:tr2bl w:val="nil"/>
            </w:tcBorders>
            <w:vAlign w:val="center"/>
          </w:tcPr>
          <w:p>
            <w:pPr>
              <w:pStyle w:val="16"/>
              <w:rPr>
                <w:color w:val="auto"/>
              </w:rPr>
            </w:pPr>
            <w:r>
              <w:rPr>
                <w:color w:val="auto"/>
              </w:rPr>
              <w:t>0.86</w:t>
            </w:r>
          </w:p>
        </w:tc>
        <w:tc>
          <w:tcPr>
            <w:tcW w:w="1186" w:type="dxa"/>
            <w:tcBorders>
              <w:tl2br w:val="nil"/>
              <w:tr2bl w:val="nil"/>
            </w:tcBorders>
            <w:vAlign w:val="center"/>
          </w:tcPr>
          <w:p>
            <w:pPr>
              <w:pStyle w:val="16"/>
              <w:rPr>
                <w:color w:val="auto"/>
              </w:rPr>
            </w:pPr>
            <w:r>
              <w:rPr>
                <w:color w:val="auto"/>
              </w:rPr>
              <w:t>6.6</w:t>
            </w:r>
          </w:p>
        </w:tc>
        <w:tc>
          <w:tcPr>
            <w:tcW w:w="1171" w:type="dxa"/>
            <w:tcBorders>
              <w:tl2br w:val="nil"/>
              <w:tr2bl w:val="nil"/>
            </w:tcBorders>
            <w:vAlign w:val="center"/>
          </w:tcPr>
          <w:p>
            <w:pPr>
              <w:pStyle w:val="16"/>
              <w:rPr>
                <w:color w:val="auto"/>
              </w:rPr>
            </w:pPr>
            <w:r>
              <w:rPr>
                <w:color w:val="auto"/>
              </w:rPr>
              <w:t>无</w:t>
            </w:r>
          </w:p>
        </w:tc>
        <w:tc>
          <w:tcPr>
            <w:tcW w:w="655" w:type="dxa"/>
            <w:tcBorders>
              <w:tl2br w:val="nil"/>
              <w:tr2bl w:val="nil"/>
            </w:tcBorders>
            <w:vAlign w:val="center"/>
          </w:tcPr>
          <w:p>
            <w:pPr>
              <w:pStyle w:val="16"/>
              <w:rPr>
                <w:color w:val="auto"/>
              </w:rPr>
            </w:pPr>
            <w:r>
              <w:rPr>
                <w:color w:val="auto"/>
              </w:rPr>
              <w:t>左</w:t>
            </w:r>
          </w:p>
        </w:tc>
        <w:tc>
          <w:tcPr>
            <w:tcW w:w="3009" w:type="dxa"/>
            <w:tcBorders>
              <w:tl2br w:val="nil"/>
              <w:tr2bl w:val="nil"/>
            </w:tcBorders>
            <w:vAlign w:val="center"/>
          </w:tcPr>
          <w:p>
            <w:pPr>
              <w:pStyle w:val="16"/>
              <w:rPr>
                <w:color w:val="auto"/>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718" w:type="dxa"/>
            <w:tcBorders>
              <w:tl2br w:val="nil"/>
              <w:tr2bl w:val="nil"/>
            </w:tcBorders>
            <w:shd w:val="clear" w:color="auto" w:fill="auto"/>
            <w:vAlign w:val="center"/>
          </w:tcPr>
          <w:p>
            <w:pPr>
              <w:pStyle w:val="16"/>
              <w:rPr>
                <w:color w:val="auto"/>
              </w:rPr>
            </w:pPr>
            <w:r>
              <w:rPr>
                <w:color w:val="auto"/>
              </w:rPr>
              <w:t>4#</w:t>
            </w:r>
          </w:p>
        </w:tc>
        <w:tc>
          <w:tcPr>
            <w:tcW w:w="1085" w:type="dxa"/>
            <w:tcBorders>
              <w:tl2br w:val="nil"/>
              <w:tr2bl w:val="nil"/>
            </w:tcBorders>
            <w:shd w:val="clear" w:color="000000" w:fill="FFFFFF"/>
            <w:vAlign w:val="center"/>
          </w:tcPr>
          <w:p>
            <w:pPr>
              <w:pStyle w:val="16"/>
              <w:rPr>
                <w:color w:val="auto"/>
              </w:rPr>
            </w:pPr>
            <w:r>
              <w:rPr>
                <w:color w:val="auto"/>
              </w:rPr>
              <w:t>K32+285</w:t>
            </w:r>
          </w:p>
        </w:tc>
        <w:tc>
          <w:tcPr>
            <w:tcW w:w="1179" w:type="dxa"/>
            <w:tcBorders>
              <w:tl2br w:val="nil"/>
              <w:tr2bl w:val="nil"/>
            </w:tcBorders>
            <w:vAlign w:val="center"/>
          </w:tcPr>
          <w:p>
            <w:pPr>
              <w:pStyle w:val="16"/>
              <w:rPr>
                <w:rFonts w:hint="eastAsia" w:eastAsia="仿宋_GB2312"/>
                <w:color w:val="auto"/>
                <w:lang w:eastAsia="zh-CN"/>
              </w:rPr>
            </w:pPr>
            <w:r>
              <w:rPr>
                <w:rFonts w:hint="eastAsia"/>
                <w:color w:val="auto"/>
                <w:lang w:val="en-US" w:eastAsia="zh-CN"/>
              </w:rPr>
              <w:t>0.34</w:t>
            </w:r>
          </w:p>
        </w:tc>
        <w:tc>
          <w:tcPr>
            <w:tcW w:w="1186" w:type="dxa"/>
            <w:tcBorders>
              <w:tl2br w:val="nil"/>
              <w:tr2bl w:val="nil"/>
            </w:tcBorders>
            <w:vAlign w:val="center"/>
          </w:tcPr>
          <w:p>
            <w:pPr>
              <w:pStyle w:val="16"/>
              <w:rPr>
                <w:color w:val="auto"/>
              </w:rPr>
            </w:pPr>
            <w:r>
              <w:rPr>
                <w:color w:val="auto"/>
              </w:rPr>
              <w:t>3.8</w:t>
            </w:r>
          </w:p>
        </w:tc>
        <w:tc>
          <w:tcPr>
            <w:tcW w:w="1171" w:type="dxa"/>
            <w:tcBorders>
              <w:tl2br w:val="nil"/>
              <w:tr2bl w:val="nil"/>
            </w:tcBorders>
            <w:vAlign w:val="center"/>
          </w:tcPr>
          <w:p>
            <w:pPr>
              <w:pStyle w:val="16"/>
              <w:rPr>
                <w:color w:val="auto"/>
              </w:rPr>
            </w:pPr>
            <w:r>
              <w:rPr>
                <w:color w:val="auto"/>
              </w:rPr>
              <w:t>无</w:t>
            </w:r>
          </w:p>
        </w:tc>
        <w:tc>
          <w:tcPr>
            <w:tcW w:w="655" w:type="dxa"/>
            <w:tcBorders>
              <w:tl2br w:val="nil"/>
              <w:tr2bl w:val="nil"/>
            </w:tcBorders>
            <w:vAlign w:val="center"/>
          </w:tcPr>
          <w:p>
            <w:pPr>
              <w:pStyle w:val="16"/>
              <w:rPr>
                <w:color w:val="auto"/>
              </w:rPr>
            </w:pPr>
            <w:r>
              <w:rPr>
                <w:color w:val="auto"/>
              </w:rPr>
              <w:t>左</w:t>
            </w:r>
          </w:p>
        </w:tc>
        <w:tc>
          <w:tcPr>
            <w:tcW w:w="3009" w:type="dxa"/>
            <w:tcBorders>
              <w:tl2br w:val="nil"/>
              <w:tr2bl w:val="nil"/>
            </w:tcBorders>
            <w:vAlign w:val="center"/>
          </w:tcPr>
          <w:p>
            <w:pPr>
              <w:pStyle w:val="16"/>
              <w:rPr>
                <w:color w:val="auto"/>
              </w:rPr>
            </w:pPr>
            <w:r>
              <w:rPr>
                <w:rFonts w:hint="eastAsia"/>
                <w:color w:val="auto"/>
                <w:lang w:val="en-US" w:eastAsia="zh-CN"/>
              </w:rPr>
              <w:t>已被九峰兔业养殖场征用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718" w:type="dxa"/>
            <w:tcBorders>
              <w:tl2br w:val="nil"/>
              <w:tr2bl w:val="nil"/>
            </w:tcBorders>
            <w:shd w:val="clear" w:color="auto" w:fill="auto"/>
            <w:vAlign w:val="center"/>
          </w:tcPr>
          <w:p>
            <w:pPr>
              <w:pStyle w:val="16"/>
              <w:rPr>
                <w:color w:val="auto"/>
              </w:rPr>
            </w:pPr>
            <w:r>
              <w:rPr>
                <w:color w:val="auto"/>
              </w:rPr>
              <w:t>5#</w:t>
            </w:r>
          </w:p>
        </w:tc>
        <w:tc>
          <w:tcPr>
            <w:tcW w:w="1085" w:type="dxa"/>
            <w:tcBorders>
              <w:tl2br w:val="nil"/>
              <w:tr2bl w:val="nil"/>
            </w:tcBorders>
            <w:shd w:val="clear" w:color="000000" w:fill="FFFFFF"/>
            <w:vAlign w:val="center"/>
          </w:tcPr>
          <w:p>
            <w:pPr>
              <w:pStyle w:val="16"/>
              <w:rPr>
                <w:color w:val="auto"/>
              </w:rPr>
            </w:pPr>
            <w:r>
              <w:rPr>
                <w:color w:val="auto"/>
              </w:rPr>
              <w:t>K35+485</w:t>
            </w:r>
          </w:p>
        </w:tc>
        <w:tc>
          <w:tcPr>
            <w:tcW w:w="1179" w:type="dxa"/>
            <w:tcBorders>
              <w:tl2br w:val="nil"/>
              <w:tr2bl w:val="nil"/>
            </w:tcBorders>
            <w:vAlign w:val="center"/>
          </w:tcPr>
          <w:p>
            <w:pPr>
              <w:pStyle w:val="16"/>
              <w:rPr>
                <w:color w:val="auto"/>
              </w:rPr>
            </w:pPr>
            <w:r>
              <w:rPr>
                <w:color w:val="auto"/>
              </w:rPr>
              <w:t>1.10</w:t>
            </w:r>
          </w:p>
        </w:tc>
        <w:tc>
          <w:tcPr>
            <w:tcW w:w="1186" w:type="dxa"/>
            <w:tcBorders>
              <w:tl2br w:val="nil"/>
              <w:tr2bl w:val="nil"/>
            </w:tcBorders>
            <w:vAlign w:val="center"/>
          </w:tcPr>
          <w:p>
            <w:pPr>
              <w:pStyle w:val="16"/>
              <w:rPr>
                <w:color w:val="auto"/>
              </w:rPr>
            </w:pPr>
            <w:r>
              <w:rPr>
                <w:color w:val="auto"/>
              </w:rPr>
              <w:t>8.6</w:t>
            </w:r>
          </w:p>
        </w:tc>
        <w:tc>
          <w:tcPr>
            <w:tcW w:w="1171" w:type="dxa"/>
            <w:tcBorders>
              <w:tl2br w:val="nil"/>
              <w:tr2bl w:val="nil"/>
            </w:tcBorders>
            <w:vAlign w:val="center"/>
          </w:tcPr>
          <w:p>
            <w:pPr>
              <w:pStyle w:val="16"/>
              <w:rPr>
                <w:color w:val="auto"/>
              </w:rPr>
            </w:pPr>
            <w:r>
              <w:rPr>
                <w:color w:val="auto"/>
              </w:rPr>
              <w:t>无</w:t>
            </w:r>
          </w:p>
        </w:tc>
        <w:tc>
          <w:tcPr>
            <w:tcW w:w="655" w:type="dxa"/>
            <w:tcBorders>
              <w:tl2br w:val="nil"/>
              <w:tr2bl w:val="nil"/>
            </w:tcBorders>
            <w:vAlign w:val="center"/>
          </w:tcPr>
          <w:p>
            <w:pPr>
              <w:pStyle w:val="16"/>
              <w:rPr>
                <w:color w:val="auto"/>
              </w:rPr>
            </w:pPr>
            <w:r>
              <w:rPr>
                <w:color w:val="auto"/>
              </w:rPr>
              <w:t>左</w:t>
            </w:r>
          </w:p>
        </w:tc>
        <w:tc>
          <w:tcPr>
            <w:tcW w:w="3009" w:type="dxa"/>
            <w:tcBorders>
              <w:tl2br w:val="nil"/>
              <w:tr2bl w:val="nil"/>
            </w:tcBorders>
            <w:vAlign w:val="center"/>
          </w:tcPr>
          <w:p>
            <w:pPr>
              <w:pStyle w:val="16"/>
              <w:rPr>
                <w:color w:val="auto"/>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718" w:type="dxa"/>
            <w:tcBorders>
              <w:tl2br w:val="nil"/>
              <w:tr2bl w:val="nil"/>
            </w:tcBorders>
            <w:shd w:val="clear" w:color="auto" w:fill="auto"/>
            <w:vAlign w:val="center"/>
          </w:tcPr>
          <w:p>
            <w:pPr>
              <w:pStyle w:val="16"/>
              <w:rPr>
                <w:color w:val="auto"/>
              </w:rPr>
            </w:pPr>
            <w:r>
              <w:rPr>
                <w:color w:val="auto"/>
              </w:rPr>
              <w:t>6#</w:t>
            </w:r>
          </w:p>
        </w:tc>
        <w:tc>
          <w:tcPr>
            <w:tcW w:w="1085" w:type="dxa"/>
            <w:tcBorders>
              <w:tl2br w:val="nil"/>
              <w:tr2bl w:val="nil"/>
            </w:tcBorders>
            <w:shd w:val="clear" w:color="000000" w:fill="FFFFFF"/>
            <w:vAlign w:val="center"/>
          </w:tcPr>
          <w:p>
            <w:pPr>
              <w:pStyle w:val="16"/>
              <w:rPr>
                <w:color w:val="auto"/>
              </w:rPr>
            </w:pPr>
            <w:r>
              <w:rPr>
                <w:color w:val="auto"/>
              </w:rPr>
              <w:t>K37+685</w:t>
            </w:r>
          </w:p>
        </w:tc>
        <w:tc>
          <w:tcPr>
            <w:tcW w:w="1179" w:type="dxa"/>
            <w:tcBorders>
              <w:tl2br w:val="nil"/>
              <w:tr2bl w:val="nil"/>
            </w:tcBorders>
            <w:vAlign w:val="center"/>
          </w:tcPr>
          <w:p>
            <w:pPr>
              <w:pStyle w:val="16"/>
              <w:rPr>
                <w:color w:val="auto"/>
              </w:rPr>
            </w:pPr>
            <w:r>
              <w:rPr>
                <w:color w:val="auto"/>
              </w:rPr>
              <w:t>0.31</w:t>
            </w:r>
          </w:p>
        </w:tc>
        <w:tc>
          <w:tcPr>
            <w:tcW w:w="1186" w:type="dxa"/>
            <w:tcBorders>
              <w:tl2br w:val="nil"/>
              <w:tr2bl w:val="nil"/>
            </w:tcBorders>
            <w:vAlign w:val="center"/>
          </w:tcPr>
          <w:p>
            <w:pPr>
              <w:pStyle w:val="16"/>
              <w:rPr>
                <w:color w:val="auto"/>
              </w:rPr>
            </w:pPr>
            <w:r>
              <w:rPr>
                <w:color w:val="auto"/>
              </w:rPr>
              <w:t>3.5</w:t>
            </w:r>
          </w:p>
        </w:tc>
        <w:tc>
          <w:tcPr>
            <w:tcW w:w="1171" w:type="dxa"/>
            <w:tcBorders>
              <w:tl2br w:val="nil"/>
              <w:tr2bl w:val="nil"/>
            </w:tcBorders>
            <w:vAlign w:val="center"/>
          </w:tcPr>
          <w:p>
            <w:pPr>
              <w:pStyle w:val="16"/>
              <w:jc w:val="both"/>
              <w:rPr>
                <w:color w:val="auto"/>
              </w:rPr>
            </w:pPr>
            <w:r>
              <w:rPr>
                <w:color w:val="auto"/>
              </w:rPr>
              <w:t>利用老路</w:t>
            </w:r>
          </w:p>
        </w:tc>
        <w:tc>
          <w:tcPr>
            <w:tcW w:w="655" w:type="dxa"/>
            <w:tcBorders>
              <w:tl2br w:val="nil"/>
              <w:tr2bl w:val="nil"/>
            </w:tcBorders>
            <w:vAlign w:val="center"/>
          </w:tcPr>
          <w:p>
            <w:pPr>
              <w:pStyle w:val="16"/>
              <w:rPr>
                <w:color w:val="auto"/>
              </w:rPr>
            </w:pPr>
            <w:r>
              <w:rPr>
                <w:color w:val="auto"/>
              </w:rPr>
              <w:t>右</w:t>
            </w:r>
          </w:p>
        </w:tc>
        <w:tc>
          <w:tcPr>
            <w:tcW w:w="3009" w:type="dxa"/>
            <w:tcBorders>
              <w:tl2br w:val="nil"/>
              <w:tr2bl w:val="nil"/>
            </w:tcBorders>
            <w:vAlign w:val="center"/>
          </w:tcPr>
          <w:p>
            <w:pPr>
              <w:pStyle w:val="16"/>
              <w:rPr>
                <w:color w:val="auto"/>
              </w:rPr>
            </w:pPr>
            <w:r>
              <w:rPr>
                <w:rFonts w:hint="eastAsia"/>
                <w:color w:val="auto"/>
                <w:lang w:val="en-US" w:eastAsia="zh-CN"/>
              </w:rPr>
              <w:t>已被西城区教育城项目征用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718" w:type="dxa"/>
            <w:tcBorders>
              <w:tl2br w:val="nil"/>
              <w:tr2bl w:val="nil"/>
            </w:tcBorders>
            <w:vAlign w:val="center"/>
          </w:tcPr>
          <w:p>
            <w:pPr>
              <w:pStyle w:val="16"/>
              <w:rPr>
                <w:color w:val="auto"/>
              </w:rPr>
            </w:pPr>
            <w:r>
              <w:rPr>
                <w:color w:val="auto"/>
              </w:rPr>
              <w:t>合计</w:t>
            </w:r>
          </w:p>
        </w:tc>
        <w:tc>
          <w:tcPr>
            <w:tcW w:w="1085" w:type="dxa"/>
            <w:tcBorders>
              <w:tl2br w:val="nil"/>
              <w:tr2bl w:val="nil"/>
            </w:tcBorders>
            <w:vAlign w:val="center"/>
          </w:tcPr>
          <w:p>
            <w:pPr>
              <w:pStyle w:val="16"/>
              <w:rPr>
                <w:color w:val="auto"/>
              </w:rPr>
            </w:pPr>
          </w:p>
        </w:tc>
        <w:tc>
          <w:tcPr>
            <w:tcW w:w="1179" w:type="dxa"/>
            <w:tcBorders>
              <w:tl2br w:val="nil"/>
              <w:tr2bl w:val="nil"/>
            </w:tcBorders>
            <w:vAlign w:val="center"/>
          </w:tcPr>
          <w:p>
            <w:pPr>
              <w:pStyle w:val="16"/>
              <w:rPr>
                <w:rFonts w:hint="eastAsia" w:eastAsia="仿宋_GB2312"/>
                <w:color w:val="auto"/>
                <w:lang w:eastAsia="zh-CN"/>
              </w:rPr>
            </w:pPr>
            <w:r>
              <w:rPr>
                <w:rFonts w:hint="eastAsia"/>
                <w:color w:val="auto"/>
                <w:lang w:val="en-US" w:eastAsia="zh-CN"/>
              </w:rPr>
              <w:t>3.86</w:t>
            </w:r>
          </w:p>
        </w:tc>
        <w:tc>
          <w:tcPr>
            <w:tcW w:w="1186" w:type="dxa"/>
            <w:tcBorders>
              <w:tl2br w:val="nil"/>
              <w:tr2bl w:val="nil"/>
            </w:tcBorders>
            <w:vAlign w:val="center"/>
          </w:tcPr>
          <w:p>
            <w:pPr>
              <w:pStyle w:val="16"/>
              <w:rPr>
                <w:rFonts w:hint="eastAsia" w:eastAsia="仿宋_GB2312"/>
                <w:color w:val="auto"/>
                <w:lang w:eastAsia="zh-CN"/>
              </w:rPr>
            </w:pPr>
            <w:r>
              <w:rPr>
                <w:rFonts w:hint="eastAsia"/>
                <w:color w:val="auto"/>
                <w:lang w:val="en-US" w:eastAsia="zh-CN"/>
              </w:rPr>
              <w:t>32.3</w:t>
            </w:r>
          </w:p>
        </w:tc>
        <w:tc>
          <w:tcPr>
            <w:tcW w:w="1171" w:type="dxa"/>
            <w:tcBorders>
              <w:tl2br w:val="nil"/>
              <w:tr2bl w:val="nil"/>
            </w:tcBorders>
            <w:vAlign w:val="center"/>
          </w:tcPr>
          <w:p>
            <w:pPr>
              <w:pStyle w:val="16"/>
              <w:rPr>
                <w:color w:val="auto"/>
              </w:rPr>
            </w:pPr>
          </w:p>
        </w:tc>
        <w:tc>
          <w:tcPr>
            <w:tcW w:w="655" w:type="dxa"/>
            <w:tcBorders>
              <w:tl2br w:val="nil"/>
              <w:tr2bl w:val="nil"/>
            </w:tcBorders>
            <w:vAlign w:val="center"/>
          </w:tcPr>
          <w:p>
            <w:pPr>
              <w:pStyle w:val="16"/>
              <w:rPr>
                <w:color w:val="auto"/>
              </w:rPr>
            </w:pPr>
          </w:p>
        </w:tc>
        <w:tc>
          <w:tcPr>
            <w:tcW w:w="3009" w:type="dxa"/>
            <w:tcBorders>
              <w:tl2br w:val="nil"/>
              <w:tr2bl w:val="nil"/>
            </w:tcBorders>
            <w:vAlign w:val="center"/>
          </w:tcPr>
          <w:p>
            <w:pPr>
              <w:pStyle w:val="16"/>
              <w:rPr>
                <w:color w:val="auto"/>
              </w:rPr>
            </w:pPr>
          </w:p>
        </w:tc>
      </w:tr>
    </w:tbl>
    <w:p>
      <w:pPr>
        <w:rPr>
          <w:rFonts w:hint="eastAsia"/>
          <w:color w:val="auto"/>
          <w:lang w:val="en-US" w:eastAsia="zh-CN"/>
        </w:rPr>
      </w:pPr>
    </w:p>
    <w:p>
      <w:pPr>
        <w:rPr>
          <w:rFonts w:hint="eastAsia"/>
          <w:color w:val="auto"/>
          <w:lang w:val="en-US" w:eastAsia="zh-CN"/>
        </w:rPr>
      </w:pPr>
      <w:r>
        <w:rPr>
          <w:rFonts w:hint="eastAsia"/>
          <w:color w:val="auto"/>
          <w:lang w:val="en-US" w:eastAsia="zh-CN"/>
        </w:rPr>
        <w:t>4、取料场</w:t>
      </w:r>
    </w:p>
    <w:p>
      <w:pPr>
        <w:rPr>
          <w:rFonts w:hint="eastAsia"/>
          <w:color w:val="auto"/>
          <w:lang w:val="en-US" w:eastAsia="zh-CN"/>
        </w:rPr>
      </w:pPr>
      <w:r>
        <w:rPr>
          <w:rFonts w:hint="eastAsia"/>
          <w:color w:val="auto"/>
          <w:lang w:val="en-US" w:eastAsia="zh-CN"/>
        </w:rPr>
        <w:t>主体设计1#料场位于路线桩号K18+050右侧约0.8km，占地面积约0.38hm</w:t>
      </w:r>
      <w:r>
        <w:rPr>
          <w:rFonts w:hint="eastAsia"/>
          <w:color w:val="auto"/>
          <w:vertAlign w:val="superscript"/>
          <w:lang w:val="en-US" w:eastAsia="zh-CN"/>
        </w:rPr>
        <w:t>2</w:t>
      </w:r>
      <w:r>
        <w:rPr>
          <w:rFonts w:hint="eastAsia"/>
          <w:color w:val="auto"/>
          <w:lang w:val="en-US" w:eastAsia="zh-CN"/>
        </w:rPr>
        <w:t>；2#料场位于路线桩号K18+550右侧约0.2km，占地面积约0.45hm</w:t>
      </w:r>
      <w:r>
        <w:rPr>
          <w:rFonts w:hint="eastAsia"/>
          <w:color w:val="auto"/>
          <w:vertAlign w:val="superscript"/>
          <w:lang w:val="en-US" w:eastAsia="zh-CN"/>
        </w:rPr>
        <w:t>2</w:t>
      </w:r>
      <w:r>
        <w:rPr>
          <w:rFonts w:hint="eastAsia"/>
          <w:color w:val="auto"/>
          <w:lang w:val="en-US" w:eastAsia="zh-CN"/>
        </w:rPr>
        <w:t>，料场总占地面积0.83hm</w:t>
      </w:r>
      <w:r>
        <w:rPr>
          <w:rFonts w:hint="eastAsia"/>
          <w:color w:val="auto"/>
          <w:vertAlign w:val="superscript"/>
          <w:lang w:val="en-US" w:eastAsia="zh-CN"/>
        </w:rPr>
        <w:t>2</w:t>
      </w:r>
      <w:r>
        <w:rPr>
          <w:rFonts w:hint="eastAsia"/>
          <w:color w:val="auto"/>
          <w:lang w:val="en-US" w:eastAsia="zh-CN"/>
        </w:rPr>
        <w:t>。根据现场调查，因征地等原因，实际使用的料场只有1处，位于路线桩号K18+000右侧约0.6km，结合业主的介绍及工作人员按照1:1000现场勾绘量算，料场占地面积约2.26hm</w:t>
      </w:r>
      <w:r>
        <w:rPr>
          <w:rFonts w:hint="eastAsia"/>
          <w:color w:val="auto"/>
          <w:vertAlign w:val="superscript"/>
          <w:lang w:val="en-US" w:eastAsia="zh-CN"/>
        </w:rPr>
        <w:t>2</w:t>
      </w:r>
      <w:r>
        <w:rPr>
          <w:rFonts w:hint="eastAsia"/>
          <w:color w:val="auto"/>
          <w:lang w:val="en-US" w:eastAsia="zh-CN"/>
        </w:rPr>
        <w:t>，已满足工程建设需求，目前已停止开采。本项目一期（江西坡至文必山段），主要为改扩建路段，所用石料为购买，数量为125893 m</w:t>
      </w:r>
      <w:r>
        <w:rPr>
          <w:rFonts w:hint="eastAsia"/>
          <w:color w:val="auto"/>
          <w:vertAlign w:val="superscript"/>
          <w:lang w:val="en-US" w:eastAsia="zh-CN"/>
        </w:rPr>
        <w:t>3</w:t>
      </w:r>
      <w:r>
        <w:rPr>
          <w:rFonts w:hint="eastAsia"/>
          <w:color w:val="auto"/>
          <w:lang w:val="en-US" w:eastAsia="zh-CN"/>
        </w:rPr>
        <w:t>；二期为设置取料场，根据施工日志及施工结算资料，料场已开挖23万m</w:t>
      </w:r>
      <w:r>
        <w:rPr>
          <w:rFonts w:hint="eastAsia"/>
          <w:color w:val="auto"/>
          <w:vertAlign w:val="superscript"/>
          <w:lang w:val="en-US" w:eastAsia="zh-CN"/>
        </w:rPr>
        <w:t>3</w:t>
      </w:r>
      <w:r>
        <w:rPr>
          <w:rFonts w:hint="eastAsia"/>
          <w:color w:val="auto"/>
          <w:lang w:val="en-US" w:eastAsia="zh-CN"/>
        </w:rPr>
        <w:t>石料，根据图件20取料场剖面图可知，取料场平均开挖高度约10m，按照占地面积2.26hm</w:t>
      </w:r>
      <w:r>
        <w:rPr>
          <w:rFonts w:hint="eastAsia"/>
          <w:color w:val="auto"/>
          <w:vertAlign w:val="superscript"/>
          <w:lang w:val="en-US" w:eastAsia="zh-CN"/>
        </w:rPr>
        <w:t>2</w:t>
      </w:r>
      <w:r>
        <w:rPr>
          <w:rFonts w:hint="eastAsia"/>
          <w:color w:val="auto"/>
          <w:lang w:val="en-US" w:eastAsia="zh-CN"/>
        </w:rPr>
        <w:t>，开挖约22.6万m</w:t>
      </w:r>
      <w:r>
        <w:rPr>
          <w:rFonts w:hint="eastAsia"/>
          <w:color w:val="auto"/>
          <w:vertAlign w:val="superscript"/>
          <w:lang w:val="en-US" w:eastAsia="zh-CN"/>
        </w:rPr>
        <w:t>3</w:t>
      </w:r>
      <w:r>
        <w:rPr>
          <w:rFonts w:hint="eastAsia"/>
          <w:color w:val="auto"/>
          <w:lang w:val="en-US" w:eastAsia="zh-CN"/>
        </w:rPr>
        <w:t>，因此可推测出料场征占地面积较合理。</w:t>
      </w:r>
    </w:p>
    <w:p>
      <w:pPr>
        <w:rPr>
          <w:rFonts w:hint="eastAsia"/>
          <w:color w:val="auto"/>
          <w:lang w:val="en-US" w:eastAsia="zh-CN"/>
        </w:rPr>
      </w:pPr>
      <w:r>
        <w:rPr>
          <w:rFonts w:hint="eastAsia"/>
          <w:color w:val="auto"/>
          <w:lang w:val="en-US" w:eastAsia="zh-CN"/>
        </w:rPr>
        <w:t>5、拌合站</w:t>
      </w:r>
    </w:p>
    <w:p>
      <w:pPr>
        <w:rPr>
          <w:rFonts w:hint="eastAsia"/>
          <w:color w:val="auto"/>
          <w:lang w:val="en-US" w:eastAsia="zh-CN"/>
        </w:rPr>
      </w:pPr>
      <w:r>
        <w:rPr>
          <w:rFonts w:hint="eastAsia"/>
          <w:color w:val="auto"/>
          <w:lang w:val="en-US" w:eastAsia="zh-CN"/>
        </w:rPr>
        <w:t>主体设计在K12+300布置拌合站一处，拌合站均布置有拌合机械、临时用房等，且用水用电通过周边供给，占地面积0.45hm</w:t>
      </w:r>
      <w:r>
        <w:rPr>
          <w:rFonts w:hint="eastAsia"/>
          <w:color w:val="auto"/>
          <w:vertAlign w:val="superscript"/>
          <w:lang w:val="en-US" w:eastAsia="zh-CN"/>
        </w:rPr>
        <w:t>2</w:t>
      </w:r>
      <w:r>
        <w:rPr>
          <w:rFonts w:hint="eastAsia"/>
          <w:color w:val="auto"/>
          <w:lang w:val="en-US" w:eastAsia="zh-CN"/>
        </w:rPr>
        <w:t>，其中，位于征地红线范围内面积0.15hm</w:t>
      </w:r>
      <w:r>
        <w:rPr>
          <w:rFonts w:hint="eastAsia"/>
          <w:color w:val="auto"/>
          <w:vertAlign w:val="superscript"/>
          <w:lang w:val="en-US" w:eastAsia="zh-CN"/>
        </w:rPr>
        <w:t>2</w:t>
      </w:r>
      <w:r>
        <w:rPr>
          <w:rFonts w:hint="eastAsia"/>
          <w:color w:val="auto"/>
          <w:lang w:val="en-US" w:eastAsia="zh-CN"/>
        </w:rPr>
        <w:t>，已计入道路工程占地面积；位于征地红线范围外面积0.30hm</w:t>
      </w:r>
      <w:r>
        <w:rPr>
          <w:rFonts w:hint="eastAsia"/>
          <w:color w:val="auto"/>
          <w:vertAlign w:val="superscript"/>
          <w:lang w:val="en-US" w:eastAsia="zh-CN"/>
        </w:rPr>
        <w:t>2</w:t>
      </w:r>
      <w:r>
        <w:rPr>
          <w:rFonts w:hint="eastAsia"/>
          <w:color w:val="auto"/>
          <w:lang w:val="en-US" w:eastAsia="zh-CN"/>
        </w:rPr>
        <w:t>，为临时用地。</w:t>
      </w:r>
    </w:p>
    <w:p>
      <w:pPr>
        <w:rPr>
          <w:rFonts w:hint="eastAsia"/>
          <w:color w:val="auto"/>
          <w:lang w:val="en-US" w:eastAsia="zh-CN"/>
        </w:rPr>
      </w:pPr>
      <w:r>
        <w:rPr>
          <w:rFonts w:hint="eastAsia"/>
          <w:color w:val="auto"/>
          <w:lang w:val="en-US" w:eastAsia="zh-CN"/>
        </w:rPr>
        <w:t>根据现场勘查，本项目拌合站有部分区域被普安县高潮村集体经济合作社征用用作冷库和茶叶加工厂，占拌合站面积0.15hm</w:t>
      </w:r>
      <w:r>
        <w:rPr>
          <w:rFonts w:hint="eastAsia"/>
          <w:color w:val="auto"/>
          <w:vertAlign w:val="superscript"/>
          <w:lang w:val="en-US" w:eastAsia="zh-CN"/>
        </w:rPr>
        <w:t>2</w:t>
      </w:r>
      <w:r>
        <w:rPr>
          <w:rFonts w:hint="eastAsia"/>
          <w:color w:val="auto"/>
          <w:lang w:val="en-US" w:eastAsia="zh-CN"/>
        </w:rPr>
        <w:t>，因此，本项目拌合站面积剩余0.30hm</w:t>
      </w:r>
      <w:r>
        <w:rPr>
          <w:rFonts w:hint="eastAsia"/>
          <w:color w:val="auto"/>
          <w:vertAlign w:val="superscript"/>
          <w:lang w:val="en-US" w:eastAsia="zh-CN"/>
        </w:rPr>
        <w:t>2</w:t>
      </w:r>
      <w:r>
        <w:rPr>
          <w:rFonts w:hint="eastAsia"/>
          <w:color w:val="auto"/>
          <w:lang w:val="en-US" w:eastAsia="zh-CN"/>
        </w:rPr>
        <w:t>，均为临时占地。</w:t>
      </w:r>
    </w:p>
    <w:p>
      <w:pPr>
        <w:rPr>
          <w:rFonts w:hint="eastAsia"/>
          <w:color w:val="auto"/>
          <w:lang w:val="en-US" w:eastAsia="zh-CN"/>
        </w:rPr>
      </w:pPr>
      <w:r>
        <w:rPr>
          <w:rFonts w:hint="eastAsia"/>
          <w:color w:val="auto"/>
          <w:lang w:val="en-US" w:eastAsia="zh-CN"/>
        </w:rPr>
        <w:t>6、施工便道</w:t>
      </w:r>
    </w:p>
    <w:p>
      <w:pPr>
        <w:rPr>
          <w:rFonts w:hint="eastAsia"/>
          <w:color w:val="auto"/>
          <w:lang w:val="en-US" w:eastAsia="zh-CN"/>
        </w:rPr>
      </w:pPr>
      <w:r>
        <w:rPr>
          <w:rFonts w:hint="eastAsia"/>
          <w:color w:val="auto"/>
          <w:lang w:val="en-US" w:eastAsia="zh-CN"/>
        </w:rPr>
        <w:t>根据主体资料，本项目老路（6.5-7.5m宽）利用率较高，道路施工时采取老路半幅保畅通行，保畅便道共计36.84km，一般按照3.5m路面宽度考虑；在新建路段，一般采取在公路用地范围内修筑便道，施工便道共计7.65km，一般按照4.5m路基宽度、3.5m路面宽度考虑，能够满足施工期施工运输要求。主体设计临时施工便道均布置在红线范围内，面积在道路工程占地内计列。</w:t>
      </w:r>
    </w:p>
    <w:p>
      <w:pPr>
        <w:rPr>
          <w:rFonts w:hint="eastAsia"/>
          <w:color w:val="auto"/>
          <w:lang w:val="en-US" w:eastAsia="zh-CN"/>
        </w:rPr>
      </w:pPr>
      <w:r>
        <w:rPr>
          <w:rFonts w:hint="eastAsia"/>
          <w:color w:val="auto"/>
          <w:lang w:val="en-US" w:eastAsia="zh-CN"/>
        </w:rPr>
        <w:t>7、临时施工用水用电</w:t>
      </w:r>
    </w:p>
    <w:p>
      <w:pPr>
        <w:rPr>
          <w:rFonts w:hint="eastAsia"/>
          <w:color w:val="auto"/>
          <w:lang w:val="en-US" w:eastAsia="zh-CN"/>
        </w:rPr>
      </w:pPr>
      <w:r>
        <w:rPr>
          <w:rFonts w:hint="eastAsia"/>
          <w:color w:val="auto"/>
          <w:lang w:val="en-US" w:eastAsia="zh-CN"/>
        </w:rPr>
        <w:t>本项目建设是G320其中的一段，项目建设利用原有G320进行改扩建，项目沿线均有村寨，且电网覆盖整个项目建设区，因此项目区用电从周边电网接入即可，其占地已纳入拌合站用地区域；项目建设周边有溪沟及河流流过，建设期间利用周边溪沟及河流用水即可满足，因此，本方案不新增其占地。</w:t>
      </w:r>
    </w:p>
    <w:p>
      <w:pPr>
        <w:keepNext w:val="0"/>
        <w:keepLines w:val="0"/>
        <w:pageBreakBefore w:val="0"/>
        <w:widowControl w:val="0"/>
        <w:kinsoku/>
        <w:wordWrap/>
        <w:overflowPunct/>
        <w:topLinePunct/>
        <w:autoSpaceDE/>
        <w:autoSpaceDN/>
        <w:bidi w:val="0"/>
        <w:adjustRightInd w:val="0"/>
        <w:snapToGrid w:val="0"/>
        <w:spacing w:before="164" w:beforeLines="50" w:after="0" w:afterLines="0" w:line="360" w:lineRule="auto"/>
        <w:ind w:left="0" w:leftChars="0" w:right="0" w:rightChars="0" w:firstLine="458" w:firstLineChars="191"/>
        <w:jc w:val="both"/>
        <w:textAlignment w:val="auto"/>
        <w:outlineLvl w:val="9"/>
        <w:rPr>
          <w:rFonts w:hint="eastAsia" w:eastAsia="仿宋_GB2312"/>
          <w:color w:val="auto"/>
          <w:lang w:val="en-US" w:eastAsia="zh-CN"/>
        </w:rPr>
      </w:pPr>
      <w:r>
        <w:rPr>
          <w:rFonts w:hint="eastAsia"/>
          <w:color w:val="auto"/>
          <w:lang w:val="en-US" w:eastAsia="zh-CN"/>
        </w:rPr>
        <w:t>二、项目分区</w:t>
      </w:r>
    </w:p>
    <w:p>
      <w:pPr>
        <w:keepNext w:val="0"/>
        <w:keepLines w:val="0"/>
        <w:pageBreakBefore w:val="0"/>
        <w:widowControl w:val="0"/>
        <w:kinsoku/>
        <w:wordWrap/>
        <w:overflowPunct/>
        <w:topLinePunct/>
        <w:autoSpaceDE/>
        <w:autoSpaceDN/>
        <w:bidi w:val="0"/>
        <w:adjustRightInd w:val="0"/>
        <w:snapToGrid w:val="0"/>
        <w:spacing w:before="164" w:beforeLines="50" w:after="0" w:afterLines="0" w:line="360" w:lineRule="auto"/>
        <w:ind w:left="0" w:leftChars="0" w:right="0" w:rightChars="0" w:firstLine="458" w:firstLineChars="191"/>
        <w:jc w:val="both"/>
        <w:textAlignment w:val="auto"/>
        <w:outlineLvl w:val="9"/>
        <w:rPr>
          <w:rFonts w:hint="eastAsia"/>
          <w:color w:val="auto"/>
          <w:lang w:val="en-US" w:eastAsia="zh-CN"/>
        </w:rPr>
      </w:pPr>
      <w:r>
        <w:rPr>
          <w:rFonts w:hint="eastAsia"/>
          <w:color w:val="auto"/>
          <w:lang w:val="en-US" w:eastAsia="zh-CN"/>
        </w:rPr>
        <w:t>根据</w:t>
      </w:r>
      <w:r>
        <w:rPr>
          <w:rFonts w:hint="eastAsia" w:eastAsia="仿宋_GB2312"/>
          <w:color w:val="auto"/>
          <w:lang w:val="en-US" w:eastAsia="zh-CN"/>
        </w:rPr>
        <w:t>本</w:t>
      </w:r>
      <w:r>
        <w:rPr>
          <w:rFonts w:hint="eastAsia"/>
          <w:color w:val="auto"/>
          <w:lang w:val="en-US" w:eastAsia="zh-CN"/>
        </w:rPr>
        <w:t>项目水土保持</w:t>
      </w:r>
      <w:r>
        <w:rPr>
          <w:rFonts w:hint="eastAsia" w:eastAsia="仿宋_GB2312"/>
          <w:color w:val="auto"/>
          <w:lang w:val="en-US" w:eastAsia="zh-CN"/>
        </w:rPr>
        <w:t>方案</w:t>
      </w:r>
      <w:r>
        <w:rPr>
          <w:rFonts w:hint="eastAsia"/>
          <w:color w:val="auto"/>
          <w:lang w:val="en-US" w:eastAsia="zh-CN"/>
        </w:rPr>
        <w:t>，结合本项目的特点，本项目水土流失防治分区划分5个一级防治分区，分别是路基工程区、桥梁工程区、料场区、弃渣场区、拌合站区，细化分为8个二级防治区。监测小组根据实际情况认为本项目水土保持方案所划分区比较合理，具体分区如下：</w:t>
      </w:r>
    </w:p>
    <w:p>
      <w:pPr>
        <w:keepNext w:val="0"/>
        <w:keepLines w:val="0"/>
        <w:pageBreakBefore w:val="0"/>
        <w:widowControl w:val="0"/>
        <w:kinsoku/>
        <w:wordWrap/>
        <w:overflowPunct/>
        <w:topLinePunct/>
        <w:autoSpaceDE/>
        <w:autoSpaceDN/>
        <w:bidi w:val="0"/>
        <w:adjustRightInd w:val="0"/>
        <w:snapToGrid w:val="0"/>
        <w:spacing w:before="164" w:beforeLines="50" w:after="0" w:afterLines="0" w:line="360" w:lineRule="auto"/>
        <w:ind w:left="0" w:leftChars="0" w:right="0" w:rightChars="0" w:firstLine="458" w:firstLineChars="191"/>
        <w:jc w:val="both"/>
        <w:textAlignment w:val="auto"/>
        <w:outlineLvl w:val="9"/>
        <w:rPr>
          <w:rFonts w:hint="eastAsia"/>
          <w:color w:val="auto"/>
          <w:lang w:val="en-US" w:eastAsia="zh-CN"/>
        </w:rPr>
      </w:pPr>
    </w:p>
    <w:p>
      <w:pPr>
        <w:keepNext w:val="0"/>
        <w:keepLines w:val="0"/>
        <w:pageBreakBefore w:val="0"/>
        <w:widowControl w:val="0"/>
        <w:kinsoku/>
        <w:wordWrap/>
        <w:overflowPunct/>
        <w:topLinePunct/>
        <w:autoSpaceDE/>
        <w:autoSpaceDN/>
        <w:bidi w:val="0"/>
        <w:adjustRightInd w:val="0"/>
        <w:snapToGrid w:val="0"/>
        <w:spacing w:before="164" w:beforeLines="50" w:after="0" w:afterLines="0" w:line="360" w:lineRule="auto"/>
        <w:ind w:left="0" w:leftChars="0" w:right="0" w:rightChars="0" w:firstLine="458" w:firstLineChars="191"/>
        <w:jc w:val="both"/>
        <w:textAlignment w:val="auto"/>
        <w:outlineLvl w:val="9"/>
        <w:rPr>
          <w:rFonts w:hint="eastAsia"/>
          <w:color w:val="auto"/>
          <w:lang w:val="en-US" w:eastAsia="zh-CN"/>
        </w:rPr>
      </w:pPr>
    </w:p>
    <w:p>
      <w:pPr>
        <w:keepNext w:val="0"/>
        <w:keepLines w:val="0"/>
        <w:pageBreakBefore w:val="0"/>
        <w:widowControl w:val="0"/>
        <w:kinsoku/>
        <w:wordWrap/>
        <w:overflowPunct/>
        <w:topLinePunct/>
        <w:autoSpaceDE/>
        <w:autoSpaceDN/>
        <w:bidi w:val="0"/>
        <w:adjustRightInd w:val="0"/>
        <w:snapToGrid w:val="0"/>
        <w:spacing w:before="164" w:beforeLines="50" w:after="0" w:afterLines="0" w:line="360" w:lineRule="auto"/>
        <w:ind w:left="0" w:leftChars="0" w:right="0" w:rightChars="0" w:firstLine="458" w:firstLineChars="191"/>
        <w:jc w:val="both"/>
        <w:textAlignment w:val="auto"/>
        <w:outlineLvl w:val="9"/>
        <w:rPr>
          <w:rFonts w:hint="eastAsia"/>
          <w:color w:val="auto"/>
          <w:lang w:val="en-US" w:eastAsia="zh-CN"/>
        </w:rPr>
      </w:pPr>
    </w:p>
    <w:p>
      <w:pPr>
        <w:keepNext w:val="0"/>
        <w:keepLines w:val="0"/>
        <w:pageBreakBefore w:val="0"/>
        <w:widowControl w:val="0"/>
        <w:kinsoku/>
        <w:wordWrap/>
        <w:overflowPunct/>
        <w:topLinePunct/>
        <w:autoSpaceDE/>
        <w:autoSpaceDN/>
        <w:bidi w:val="0"/>
        <w:adjustRightInd w:val="0"/>
        <w:snapToGrid w:val="0"/>
        <w:spacing w:before="164" w:beforeLines="50" w:after="0" w:afterLines="0" w:line="360" w:lineRule="auto"/>
        <w:ind w:left="0" w:leftChars="0" w:right="0" w:rightChars="0" w:firstLine="458" w:firstLineChars="191"/>
        <w:jc w:val="both"/>
        <w:textAlignment w:val="auto"/>
        <w:outlineLvl w:val="9"/>
        <w:rPr>
          <w:rFonts w:hint="eastAsia"/>
          <w:color w:val="auto"/>
          <w:lang w:val="en-US" w:eastAsia="zh-CN"/>
        </w:rPr>
      </w:pPr>
    </w:p>
    <w:p>
      <w:pPr>
        <w:pStyle w:val="17"/>
        <w:rPr>
          <w:rFonts w:hint="eastAsia"/>
          <w:color w:val="auto"/>
          <w:lang w:val="en-US" w:eastAsia="zh-CN"/>
        </w:rPr>
      </w:pPr>
      <w:r>
        <w:rPr>
          <w:rFonts w:hint="eastAsia"/>
          <w:color w:val="auto"/>
          <w:lang w:val="en-US" w:eastAsia="zh-CN"/>
        </w:rPr>
        <w:t>1-3 项目区水土流失防治区表</w:t>
      </w:r>
    </w:p>
    <w:tbl>
      <w:tblPr>
        <w:tblStyle w:val="11"/>
        <w:tblpPr w:leftFromText="180" w:rightFromText="180" w:vertAnchor="text" w:horzAnchor="page" w:tblpX="1757" w:tblpY="50"/>
        <w:tblOverlap w:val="never"/>
        <w:tblW w:w="8817" w:type="dxa"/>
        <w:tblInd w:w="0" w:type="dxa"/>
        <w:tblLayout w:type="fixed"/>
        <w:tblCellMar>
          <w:top w:w="15" w:type="dxa"/>
          <w:left w:w="15" w:type="dxa"/>
          <w:bottom w:w="15" w:type="dxa"/>
          <w:right w:w="15" w:type="dxa"/>
        </w:tblCellMar>
      </w:tblPr>
      <w:tblGrid>
        <w:gridCol w:w="4216"/>
        <w:gridCol w:w="193"/>
        <w:gridCol w:w="4408"/>
      </w:tblGrid>
      <w:tr>
        <w:tblPrEx>
          <w:tblCellMar>
            <w:top w:w="15" w:type="dxa"/>
            <w:left w:w="15" w:type="dxa"/>
            <w:bottom w:w="15" w:type="dxa"/>
            <w:right w:w="15" w:type="dxa"/>
          </w:tblCellMar>
        </w:tblPrEx>
        <w:trPr>
          <w:trHeight w:val="227" w:hRule="atLeast"/>
        </w:trPr>
        <w:tc>
          <w:tcPr>
            <w:tcW w:w="8817" w:type="dxa"/>
            <w:gridSpan w:val="3"/>
            <w:tcBorders>
              <w:top w:val="single" w:color="000000" w:sz="4" w:space="0"/>
              <w:left w:val="single" w:color="000000" w:sz="4" w:space="0"/>
              <w:bottom w:val="single" w:color="000000" w:sz="4" w:space="0"/>
              <w:right w:val="single" w:color="000000" w:sz="4" w:space="0"/>
            </w:tcBorders>
            <w:vAlign w:val="center"/>
          </w:tcPr>
          <w:p>
            <w:pPr>
              <w:pStyle w:val="16"/>
              <w:rPr>
                <w:color w:val="auto"/>
              </w:rPr>
            </w:pPr>
            <w:r>
              <w:rPr>
                <w:color w:val="auto"/>
              </w:rPr>
              <w:t>项目组成</w:t>
            </w:r>
          </w:p>
        </w:tc>
      </w:tr>
      <w:tr>
        <w:tblPrEx>
          <w:tblCellMar>
            <w:top w:w="15" w:type="dxa"/>
            <w:left w:w="15" w:type="dxa"/>
            <w:bottom w:w="15" w:type="dxa"/>
            <w:right w:w="15" w:type="dxa"/>
          </w:tblCellMar>
        </w:tblPrEx>
        <w:trPr>
          <w:trHeight w:val="312" w:hRule="atLeast"/>
        </w:trPr>
        <w:tc>
          <w:tcPr>
            <w:tcW w:w="4216" w:type="dxa"/>
            <w:vMerge w:val="restart"/>
            <w:tcBorders>
              <w:top w:val="single" w:color="000000" w:sz="4" w:space="0"/>
              <w:left w:val="single" w:color="000000" w:sz="4" w:space="0"/>
              <w:right w:val="single" w:color="000000" w:sz="4" w:space="0"/>
            </w:tcBorders>
            <w:vAlign w:val="center"/>
          </w:tcPr>
          <w:p>
            <w:pPr>
              <w:pStyle w:val="16"/>
              <w:rPr>
                <w:color w:val="auto"/>
              </w:rPr>
            </w:pPr>
            <w:r>
              <w:rPr>
                <w:color w:val="auto"/>
              </w:rPr>
              <w:t>一级分区</w:t>
            </w:r>
          </w:p>
        </w:tc>
        <w:tc>
          <w:tcPr>
            <w:tcW w:w="4601" w:type="dxa"/>
            <w:gridSpan w:val="2"/>
            <w:vMerge w:val="restart"/>
            <w:tcBorders>
              <w:top w:val="single" w:color="000000" w:sz="4" w:space="0"/>
              <w:left w:val="single" w:color="000000" w:sz="4" w:space="0"/>
              <w:right w:val="single" w:color="000000" w:sz="4" w:space="0"/>
            </w:tcBorders>
            <w:vAlign w:val="center"/>
          </w:tcPr>
          <w:p>
            <w:pPr>
              <w:pStyle w:val="16"/>
              <w:rPr>
                <w:color w:val="auto"/>
              </w:rPr>
            </w:pPr>
            <w:r>
              <w:rPr>
                <w:color w:val="auto"/>
              </w:rPr>
              <w:t>二级分区</w:t>
            </w:r>
          </w:p>
        </w:tc>
      </w:tr>
      <w:tr>
        <w:tblPrEx>
          <w:tblCellMar>
            <w:top w:w="15" w:type="dxa"/>
            <w:left w:w="15" w:type="dxa"/>
            <w:bottom w:w="15" w:type="dxa"/>
            <w:right w:w="15" w:type="dxa"/>
          </w:tblCellMar>
        </w:tblPrEx>
        <w:trPr>
          <w:trHeight w:val="312" w:hRule="atLeast"/>
        </w:trPr>
        <w:tc>
          <w:tcPr>
            <w:tcW w:w="4216" w:type="dxa"/>
            <w:vMerge w:val="continue"/>
            <w:tcBorders>
              <w:left w:val="single" w:color="000000" w:sz="4" w:space="0"/>
              <w:bottom w:val="single" w:color="000000" w:sz="4" w:space="0"/>
              <w:right w:val="single" w:color="000000" w:sz="4" w:space="0"/>
            </w:tcBorders>
            <w:vAlign w:val="center"/>
          </w:tcPr>
          <w:p>
            <w:pPr>
              <w:pStyle w:val="16"/>
              <w:rPr>
                <w:color w:val="auto"/>
              </w:rPr>
            </w:pPr>
          </w:p>
        </w:tc>
        <w:tc>
          <w:tcPr>
            <w:tcW w:w="4601" w:type="dxa"/>
            <w:gridSpan w:val="2"/>
            <w:vMerge w:val="continue"/>
            <w:tcBorders>
              <w:left w:val="single" w:color="000000" w:sz="4" w:space="0"/>
              <w:bottom w:val="single" w:color="000000" w:sz="4" w:space="0"/>
              <w:right w:val="single" w:color="000000" w:sz="4" w:space="0"/>
            </w:tcBorders>
            <w:vAlign w:val="center"/>
          </w:tcPr>
          <w:p>
            <w:pPr>
              <w:pStyle w:val="16"/>
              <w:rPr>
                <w:color w:val="auto"/>
              </w:rPr>
            </w:pPr>
          </w:p>
        </w:tc>
      </w:tr>
      <w:tr>
        <w:tblPrEx>
          <w:tblCellMar>
            <w:top w:w="15" w:type="dxa"/>
            <w:left w:w="15" w:type="dxa"/>
            <w:bottom w:w="15" w:type="dxa"/>
            <w:right w:w="15" w:type="dxa"/>
          </w:tblCellMar>
        </w:tblPrEx>
        <w:trPr>
          <w:trHeight w:val="227" w:hRule="atLeast"/>
        </w:trPr>
        <w:tc>
          <w:tcPr>
            <w:tcW w:w="8817" w:type="dxa"/>
            <w:gridSpan w:val="3"/>
            <w:tcBorders>
              <w:top w:val="single" w:color="000000" w:sz="4" w:space="0"/>
              <w:left w:val="single" w:color="000000" w:sz="4" w:space="0"/>
              <w:bottom w:val="single" w:color="000000" w:sz="4" w:space="0"/>
              <w:right w:val="single" w:color="000000" w:sz="4" w:space="0"/>
            </w:tcBorders>
            <w:vAlign w:val="center"/>
          </w:tcPr>
          <w:p>
            <w:pPr>
              <w:pStyle w:val="16"/>
              <w:rPr>
                <w:color w:val="auto"/>
              </w:rPr>
            </w:pPr>
            <w:r>
              <w:rPr>
                <w:color w:val="auto"/>
              </w:rPr>
              <w:t>路基工程区</w:t>
            </w:r>
          </w:p>
        </w:tc>
      </w:tr>
      <w:tr>
        <w:tblPrEx>
          <w:tblCellMar>
            <w:top w:w="15" w:type="dxa"/>
            <w:left w:w="15" w:type="dxa"/>
            <w:bottom w:w="15" w:type="dxa"/>
            <w:right w:w="15" w:type="dxa"/>
          </w:tblCellMar>
        </w:tblPrEx>
        <w:trPr>
          <w:trHeight w:val="227" w:hRule="atLeast"/>
        </w:trPr>
        <w:tc>
          <w:tcPr>
            <w:tcW w:w="8817" w:type="dxa"/>
            <w:gridSpan w:val="3"/>
            <w:tcBorders>
              <w:top w:val="single" w:color="000000" w:sz="4" w:space="0"/>
              <w:left w:val="single" w:color="000000" w:sz="4" w:space="0"/>
              <w:bottom w:val="single" w:color="000000" w:sz="4" w:space="0"/>
              <w:right w:val="single" w:color="000000" w:sz="4" w:space="0"/>
            </w:tcBorders>
            <w:vAlign w:val="center"/>
          </w:tcPr>
          <w:p>
            <w:pPr>
              <w:pStyle w:val="16"/>
              <w:rPr>
                <w:color w:val="auto"/>
              </w:rPr>
            </w:pPr>
            <w:r>
              <w:rPr>
                <w:color w:val="auto"/>
              </w:rPr>
              <w:t>桥梁工程区</w:t>
            </w:r>
          </w:p>
        </w:tc>
      </w:tr>
      <w:tr>
        <w:tblPrEx>
          <w:tblCellMar>
            <w:top w:w="15" w:type="dxa"/>
            <w:left w:w="15" w:type="dxa"/>
            <w:bottom w:w="15" w:type="dxa"/>
            <w:right w:w="15" w:type="dxa"/>
          </w:tblCellMar>
        </w:tblPrEx>
        <w:trPr>
          <w:trHeight w:val="227" w:hRule="atLeast"/>
        </w:trPr>
        <w:tc>
          <w:tcPr>
            <w:tcW w:w="8817" w:type="dxa"/>
            <w:gridSpan w:val="3"/>
            <w:tcBorders>
              <w:top w:val="single" w:color="000000" w:sz="4" w:space="0"/>
              <w:left w:val="single" w:color="000000" w:sz="4" w:space="0"/>
              <w:bottom w:val="single" w:color="000000" w:sz="4" w:space="0"/>
              <w:right w:val="single" w:color="000000" w:sz="4" w:space="0"/>
            </w:tcBorders>
            <w:vAlign w:val="center"/>
          </w:tcPr>
          <w:p>
            <w:pPr>
              <w:pStyle w:val="16"/>
              <w:rPr>
                <w:color w:val="auto"/>
              </w:rPr>
            </w:pPr>
            <w:r>
              <w:rPr>
                <w:color w:val="auto"/>
              </w:rPr>
              <w:t>取料场区</w:t>
            </w:r>
          </w:p>
        </w:tc>
      </w:tr>
      <w:tr>
        <w:tblPrEx>
          <w:tblCellMar>
            <w:top w:w="15" w:type="dxa"/>
            <w:left w:w="15" w:type="dxa"/>
            <w:bottom w:w="15" w:type="dxa"/>
            <w:right w:w="15" w:type="dxa"/>
          </w:tblCellMar>
        </w:tblPrEx>
        <w:trPr>
          <w:trHeight w:val="227" w:hRule="atLeast"/>
        </w:trPr>
        <w:tc>
          <w:tcPr>
            <w:tcW w:w="4409" w:type="dxa"/>
            <w:gridSpan w:val="2"/>
            <w:vMerge w:val="restart"/>
            <w:tcBorders>
              <w:top w:val="single" w:color="000000" w:sz="4" w:space="0"/>
              <w:left w:val="single" w:color="000000" w:sz="4" w:space="0"/>
              <w:right w:val="single" w:color="000000" w:sz="4" w:space="0"/>
            </w:tcBorders>
            <w:vAlign w:val="center"/>
          </w:tcPr>
          <w:p>
            <w:pPr>
              <w:pStyle w:val="16"/>
              <w:rPr>
                <w:color w:val="auto"/>
              </w:rPr>
            </w:pPr>
            <w:r>
              <w:rPr>
                <w:color w:val="auto"/>
              </w:rPr>
              <w:t>弃渣场区</w:t>
            </w:r>
          </w:p>
        </w:tc>
        <w:tc>
          <w:tcPr>
            <w:tcW w:w="4408" w:type="dxa"/>
            <w:tcBorders>
              <w:top w:val="single" w:color="000000" w:sz="4" w:space="0"/>
              <w:left w:val="single" w:color="000000" w:sz="4" w:space="0"/>
              <w:bottom w:val="single" w:color="000000" w:sz="4" w:space="0"/>
              <w:right w:val="single" w:color="000000" w:sz="4" w:space="0"/>
            </w:tcBorders>
            <w:vAlign w:val="center"/>
          </w:tcPr>
          <w:p>
            <w:pPr>
              <w:pStyle w:val="16"/>
              <w:rPr>
                <w:color w:val="auto"/>
              </w:rPr>
            </w:pPr>
            <w:r>
              <w:rPr>
                <w:color w:val="auto"/>
              </w:rPr>
              <w:t>1#弃渣场</w:t>
            </w:r>
          </w:p>
        </w:tc>
      </w:tr>
      <w:tr>
        <w:tblPrEx>
          <w:tblCellMar>
            <w:top w:w="15" w:type="dxa"/>
            <w:left w:w="15" w:type="dxa"/>
            <w:bottom w:w="15" w:type="dxa"/>
            <w:right w:w="15" w:type="dxa"/>
          </w:tblCellMar>
        </w:tblPrEx>
        <w:trPr>
          <w:trHeight w:val="227" w:hRule="atLeast"/>
        </w:trPr>
        <w:tc>
          <w:tcPr>
            <w:tcW w:w="4409" w:type="dxa"/>
            <w:gridSpan w:val="2"/>
            <w:vMerge w:val="continue"/>
            <w:tcBorders>
              <w:left w:val="single" w:color="000000" w:sz="4" w:space="0"/>
              <w:right w:val="single" w:color="000000" w:sz="4" w:space="0"/>
            </w:tcBorders>
            <w:vAlign w:val="center"/>
          </w:tcPr>
          <w:p>
            <w:pPr>
              <w:pStyle w:val="16"/>
              <w:rPr>
                <w:color w:val="auto"/>
              </w:rPr>
            </w:pPr>
          </w:p>
        </w:tc>
        <w:tc>
          <w:tcPr>
            <w:tcW w:w="4408" w:type="dxa"/>
            <w:tcBorders>
              <w:top w:val="single" w:color="000000" w:sz="4" w:space="0"/>
              <w:left w:val="single" w:color="000000" w:sz="4" w:space="0"/>
              <w:bottom w:val="single" w:color="000000" w:sz="4" w:space="0"/>
              <w:right w:val="single" w:color="000000" w:sz="4" w:space="0"/>
            </w:tcBorders>
            <w:vAlign w:val="center"/>
          </w:tcPr>
          <w:p>
            <w:pPr>
              <w:pStyle w:val="16"/>
              <w:rPr>
                <w:color w:val="auto"/>
              </w:rPr>
            </w:pPr>
            <w:r>
              <w:rPr>
                <w:color w:val="auto"/>
              </w:rPr>
              <w:t>2#弃渣场</w:t>
            </w:r>
          </w:p>
        </w:tc>
      </w:tr>
      <w:tr>
        <w:tblPrEx>
          <w:tblCellMar>
            <w:top w:w="15" w:type="dxa"/>
            <w:left w:w="15" w:type="dxa"/>
            <w:bottom w:w="15" w:type="dxa"/>
            <w:right w:w="15" w:type="dxa"/>
          </w:tblCellMar>
        </w:tblPrEx>
        <w:trPr>
          <w:trHeight w:val="227" w:hRule="atLeast"/>
        </w:trPr>
        <w:tc>
          <w:tcPr>
            <w:tcW w:w="4409" w:type="dxa"/>
            <w:gridSpan w:val="2"/>
            <w:vMerge w:val="continue"/>
            <w:tcBorders>
              <w:left w:val="single" w:color="000000" w:sz="4" w:space="0"/>
              <w:right w:val="single" w:color="000000" w:sz="4" w:space="0"/>
            </w:tcBorders>
            <w:vAlign w:val="center"/>
          </w:tcPr>
          <w:p>
            <w:pPr>
              <w:pStyle w:val="16"/>
              <w:rPr>
                <w:color w:val="auto"/>
              </w:rPr>
            </w:pPr>
          </w:p>
        </w:tc>
        <w:tc>
          <w:tcPr>
            <w:tcW w:w="4408" w:type="dxa"/>
            <w:tcBorders>
              <w:top w:val="single" w:color="000000" w:sz="4" w:space="0"/>
              <w:left w:val="single" w:color="000000" w:sz="4" w:space="0"/>
              <w:bottom w:val="single" w:color="000000" w:sz="4" w:space="0"/>
              <w:right w:val="single" w:color="000000" w:sz="4" w:space="0"/>
            </w:tcBorders>
            <w:vAlign w:val="center"/>
          </w:tcPr>
          <w:p>
            <w:pPr>
              <w:pStyle w:val="16"/>
              <w:rPr>
                <w:color w:val="auto"/>
              </w:rPr>
            </w:pPr>
            <w:r>
              <w:rPr>
                <w:color w:val="auto"/>
              </w:rPr>
              <w:t>3#弃渣场</w:t>
            </w:r>
          </w:p>
        </w:tc>
      </w:tr>
      <w:tr>
        <w:tblPrEx>
          <w:tblCellMar>
            <w:top w:w="15" w:type="dxa"/>
            <w:left w:w="15" w:type="dxa"/>
            <w:bottom w:w="15" w:type="dxa"/>
            <w:right w:w="15" w:type="dxa"/>
          </w:tblCellMar>
        </w:tblPrEx>
        <w:trPr>
          <w:trHeight w:val="227" w:hRule="atLeast"/>
        </w:trPr>
        <w:tc>
          <w:tcPr>
            <w:tcW w:w="4409" w:type="dxa"/>
            <w:gridSpan w:val="2"/>
            <w:vMerge w:val="continue"/>
            <w:tcBorders>
              <w:left w:val="single" w:color="000000" w:sz="4" w:space="0"/>
              <w:right w:val="single" w:color="000000" w:sz="4" w:space="0"/>
            </w:tcBorders>
            <w:vAlign w:val="center"/>
          </w:tcPr>
          <w:p>
            <w:pPr>
              <w:pStyle w:val="16"/>
              <w:rPr>
                <w:color w:val="auto"/>
              </w:rPr>
            </w:pPr>
          </w:p>
        </w:tc>
        <w:tc>
          <w:tcPr>
            <w:tcW w:w="4408" w:type="dxa"/>
            <w:tcBorders>
              <w:top w:val="single" w:color="000000" w:sz="4" w:space="0"/>
              <w:left w:val="single" w:color="000000" w:sz="4" w:space="0"/>
              <w:bottom w:val="single" w:color="000000" w:sz="4" w:space="0"/>
              <w:right w:val="single" w:color="000000" w:sz="4" w:space="0"/>
            </w:tcBorders>
            <w:vAlign w:val="center"/>
          </w:tcPr>
          <w:p>
            <w:pPr>
              <w:pStyle w:val="16"/>
              <w:rPr>
                <w:color w:val="auto"/>
              </w:rPr>
            </w:pPr>
            <w:r>
              <w:rPr>
                <w:color w:val="auto"/>
              </w:rPr>
              <w:t>4#弃渣场</w:t>
            </w:r>
          </w:p>
        </w:tc>
      </w:tr>
      <w:tr>
        <w:tblPrEx>
          <w:tblCellMar>
            <w:top w:w="15" w:type="dxa"/>
            <w:left w:w="15" w:type="dxa"/>
            <w:bottom w:w="15" w:type="dxa"/>
            <w:right w:w="15" w:type="dxa"/>
          </w:tblCellMar>
        </w:tblPrEx>
        <w:trPr>
          <w:trHeight w:val="227" w:hRule="atLeast"/>
        </w:trPr>
        <w:tc>
          <w:tcPr>
            <w:tcW w:w="4409" w:type="dxa"/>
            <w:gridSpan w:val="2"/>
            <w:vMerge w:val="continue"/>
            <w:tcBorders>
              <w:left w:val="single" w:color="000000" w:sz="4" w:space="0"/>
              <w:right w:val="single" w:color="000000" w:sz="4" w:space="0"/>
            </w:tcBorders>
            <w:vAlign w:val="center"/>
          </w:tcPr>
          <w:p>
            <w:pPr>
              <w:pStyle w:val="16"/>
              <w:rPr>
                <w:color w:val="auto"/>
              </w:rPr>
            </w:pPr>
          </w:p>
        </w:tc>
        <w:tc>
          <w:tcPr>
            <w:tcW w:w="4408" w:type="dxa"/>
            <w:tcBorders>
              <w:top w:val="single" w:color="000000" w:sz="4" w:space="0"/>
              <w:left w:val="single" w:color="000000" w:sz="4" w:space="0"/>
              <w:bottom w:val="single" w:color="000000" w:sz="4" w:space="0"/>
              <w:right w:val="single" w:color="000000" w:sz="4" w:space="0"/>
            </w:tcBorders>
            <w:vAlign w:val="center"/>
          </w:tcPr>
          <w:p>
            <w:pPr>
              <w:pStyle w:val="16"/>
              <w:rPr>
                <w:color w:val="auto"/>
              </w:rPr>
            </w:pPr>
            <w:r>
              <w:rPr>
                <w:color w:val="auto"/>
              </w:rPr>
              <w:t>5弃渣场</w:t>
            </w:r>
          </w:p>
        </w:tc>
      </w:tr>
      <w:tr>
        <w:tblPrEx>
          <w:tblCellMar>
            <w:top w:w="15" w:type="dxa"/>
            <w:left w:w="15" w:type="dxa"/>
            <w:bottom w:w="15" w:type="dxa"/>
            <w:right w:w="15" w:type="dxa"/>
          </w:tblCellMar>
        </w:tblPrEx>
        <w:trPr>
          <w:trHeight w:val="227" w:hRule="atLeast"/>
        </w:trPr>
        <w:tc>
          <w:tcPr>
            <w:tcW w:w="4409" w:type="dxa"/>
            <w:gridSpan w:val="2"/>
            <w:vMerge w:val="continue"/>
            <w:tcBorders>
              <w:left w:val="single" w:color="000000" w:sz="4" w:space="0"/>
              <w:bottom w:val="single" w:color="000000" w:sz="4" w:space="0"/>
              <w:right w:val="single" w:color="000000" w:sz="4" w:space="0"/>
            </w:tcBorders>
            <w:vAlign w:val="center"/>
          </w:tcPr>
          <w:p>
            <w:pPr>
              <w:pStyle w:val="16"/>
              <w:rPr>
                <w:color w:val="auto"/>
              </w:rPr>
            </w:pPr>
          </w:p>
        </w:tc>
        <w:tc>
          <w:tcPr>
            <w:tcW w:w="4408" w:type="dxa"/>
            <w:tcBorders>
              <w:top w:val="single" w:color="000000" w:sz="4" w:space="0"/>
              <w:left w:val="single" w:color="000000" w:sz="4" w:space="0"/>
              <w:bottom w:val="single" w:color="000000" w:sz="4" w:space="0"/>
              <w:right w:val="single" w:color="000000" w:sz="4" w:space="0"/>
            </w:tcBorders>
            <w:vAlign w:val="center"/>
          </w:tcPr>
          <w:p>
            <w:pPr>
              <w:pStyle w:val="16"/>
              <w:rPr>
                <w:color w:val="auto"/>
              </w:rPr>
            </w:pPr>
            <w:r>
              <w:rPr>
                <w:color w:val="auto"/>
              </w:rPr>
              <w:t>6#弃渣场</w:t>
            </w:r>
          </w:p>
        </w:tc>
      </w:tr>
      <w:tr>
        <w:tblPrEx>
          <w:tblCellMar>
            <w:top w:w="15" w:type="dxa"/>
            <w:left w:w="15" w:type="dxa"/>
            <w:bottom w:w="15" w:type="dxa"/>
            <w:right w:w="15" w:type="dxa"/>
          </w:tblCellMar>
        </w:tblPrEx>
        <w:trPr>
          <w:trHeight w:val="227" w:hRule="atLeast"/>
        </w:trPr>
        <w:tc>
          <w:tcPr>
            <w:tcW w:w="8817" w:type="dxa"/>
            <w:gridSpan w:val="3"/>
            <w:tcBorders>
              <w:top w:val="single" w:color="000000" w:sz="4" w:space="0"/>
              <w:left w:val="single" w:color="000000" w:sz="4" w:space="0"/>
              <w:bottom w:val="single" w:color="000000" w:sz="4" w:space="0"/>
              <w:right w:val="single" w:color="000000" w:sz="4" w:space="0"/>
            </w:tcBorders>
            <w:vAlign w:val="center"/>
          </w:tcPr>
          <w:p>
            <w:pPr>
              <w:pStyle w:val="16"/>
              <w:rPr>
                <w:color w:val="auto"/>
              </w:rPr>
            </w:pPr>
            <w:r>
              <w:rPr>
                <w:color w:val="auto"/>
              </w:rPr>
              <w:t>拌合站区</w:t>
            </w:r>
          </w:p>
        </w:tc>
      </w:tr>
    </w:tbl>
    <w:p>
      <w:pPr>
        <w:keepNext w:val="0"/>
        <w:keepLines w:val="0"/>
        <w:pageBreakBefore w:val="0"/>
        <w:widowControl w:val="0"/>
        <w:kinsoku/>
        <w:wordWrap/>
        <w:overflowPunct/>
        <w:topLinePunct/>
        <w:autoSpaceDE/>
        <w:autoSpaceDN/>
        <w:bidi w:val="0"/>
        <w:adjustRightInd w:val="0"/>
        <w:snapToGrid w:val="0"/>
        <w:spacing w:before="164" w:beforeLines="50" w:after="0" w:afterLines="0" w:line="360" w:lineRule="auto"/>
        <w:ind w:left="0" w:leftChars="0" w:right="0" w:rightChars="0" w:firstLine="0" w:firstLineChars="0"/>
        <w:jc w:val="both"/>
        <w:textAlignment w:val="auto"/>
        <w:outlineLvl w:val="9"/>
        <w:rPr>
          <w:rFonts w:hint="eastAsia" w:eastAsia="仿宋_GB2312"/>
          <w:color w:val="auto"/>
          <w:lang w:val="en-US" w:eastAsia="zh-CN"/>
        </w:rPr>
      </w:pPr>
    </w:p>
    <w:p>
      <w:pPr>
        <w:pStyle w:val="4"/>
        <w:rPr>
          <w:color w:val="auto"/>
        </w:rPr>
      </w:pPr>
      <w:bookmarkStart w:id="13" w:name="_Toc400530762"/>
      <w:bookmarkStart w:id="14" w:name="_Toc400529661"/>
      <w:bookmarkStart w:id="15" w:name="_Toc371174593"/>
      <w:r>
        <w:rPr>
          <w:rFonts w:hint="eastAsia"/>
          <w:color w:val="auto"/>
          <w:lang w:val="en-US" w:eastAsia="zh-CN"/>
        </w:rPr>
        <w:t>1.1.4</w:t>
      </w:r>
      <w:r>
        <w:rPr>
          <w:color w:val="auto"/>
        </w:rPr>
        <w:t>投资</w:t>
      </w:r>
    </w:p>
    <w:p>
      <w:pPr>
        <w:rPr>
          <w:rFonts w:ascii="Times New Roman" w:hAnsi="Times New Roman" w:eastAsia="仿宋_GB2312" w:cs="Times New Roman"/>
          <w:color w:val="auto"/>
          <w:spacing w:val="0"/>
          <w:sz w:val="24"/>
          <w:highlight w:val="none"/>
        </w:rPr>
      </w:pPr>
      <w:r>
        <w:rPr>
          <w:rFonts w:ascii="Times New Roman" w:hAnsi="Times New Roman" w:eastAsia="仿宋_GB2312" w:cs="Times New Roman"/>
          <w:color w:val="auto"/>
          <w:spacing w:val="0"/>
          <w:sz w:val="24"/>
          <w:highlight w:val="none"/>
        </w:rPr>
        <w:t>工程总投资23334.21万元，其中土建工程投资17626.70万元。资金来源：中央车购税补助资金21381万元，其余部分由普安县人民政府自筹。</w:t>
      </w:r>
    </w:p>
    <w:p>
      <w:pPr>
        <w:pStyle w:val="4"/>
        <w:rPr>
          <w:color w:val="auto"/>
        </w:rPr>
      </w:pPr>
      <w:r>
        <w:rPr>
          <w:rFonts w:hint="eastAsia"/>
          <w:color w:val="auto"/>
          <w:lang w:val="en-US" w:eastAsia="zh-CN"/>
        </w:rPr>
        <w:t>1.1.5</w:t>
      </w:r>
      <w:r>
        <w:rPr>
          <w:color w:val="auto"/>
        </w:rPr>
        <w:t>占地面积</w:t>
      </w:r>
    </w:p>
    <w:p>
      <w:pPr>
        <w:bidi w:val="0"/>
        <w:rPr>
          <w:rFonts w:hint="eastAsia"/>
          <w:color w:val="auto"/>
          <w:lang w:val="en-US" w:eastAsia="zh-CN"/>
        </w:rPr>
      </w:pPr>
      <w:r>
        <w:rPr>
          <w:rFonts w:hint="eastAsia"/>
          <w:color w:val="auto"/>
          <w:lang w:val="en-US" w:eastAsia="zh-CN"/>
        </w:rPr>
        <w:t>根据本项目水土保持方案，本工程项目建设区占地面积65.09hm</w:t>
      </w:r>
      <w:r>
        <w:rPr>
          <w:rFonts w:hint="eastAsia"/>
          <w:color w:val="auto"/>
          <w:vertAlign w:val="superscript"/>
          <w:lang w:val="en-US" w:eastAsia="zh-CN"/>
        </w:rPr>
        <w:t>2</w:t>
      </w:r>
      <w:r>
        <w:rPr>
          <w:rFonts w:hint="eastAsia"/>
          <w:color w:val="auto"/>
          <w:lang w:val="en-US" w:eastAsia="zh-CN"/>
        </w:rPr>
        <w:t>，其中永久占地面积为62.53hm</w:t>
      </w:r>
      <w:r>
        <w:rPr>
          <w:rFonts w:hint="eastAsia"/>
          <w:color w:val="auto"/>
          <w:vertAlign w:val="superscript"/>
          <w:lang w:val="en-US" w:eastAsia="zh-CN"/>
        </w:rPr>
        <w:t>2</w:t>
      </w:r>
      <w:r>
        <w:rPr>
          <w:rFonts w:hint="eastAsia"/>
          <w:color w:val="auto"/>
          <w:lang w:val="en-US" w:eastAsia="zh-CN"/>
        </w:rPr>
        <w:t>，临时占地面积为2.56hm</w:t>
      </w:r>
      <w:r>
        <w:rPr>
          <w:rFonts w:hint="eastAsia"/>
          <w:color w:val="auto"/>
          <w:vertAlign w:val="superscript"/>
          <w:lang w:val="en-US" w:eastAsia="zh-CN"/>
        </w:rPr>
        <w:t>2</w:t>
      </w:r>
      <w:r>
        <w:rPr>
          <w:rFonts w:hint="eastAsia"/>
          <w:color w:val="auto"/>
          <w:lang w:val="en-US" w:eastAsia="zh-CN"/>
        </w:rPr>
        <w:t>。</w:t>
      </w:r>
    </w:p>
    <w:p>
      <w:pPr>
        <w:spacing w:line="360" w:lineRule="auto"/>
        <w:ind w:firstLine="560"/>
        <w:rPr>
          <w:rFonts w:hint="eastAsia" w:ascii="Times New Roman" w:hAnsi="Times New Roman" w:eastAsia="仿宋_GB2312" w:cs="Times New Roman"/>
          <w:color w:val="auto"/>
          <w:spacing w:val="0"/>
          <w:sz w:val="24"/>
        </w:rPr>
      </w:pPr>
      <w:r>
        <w:rPr>
          <w:rFonts w:hint="eastAsia" w:eastAsia="仿宋_GB2312"/>
          <w:color w:val="auto"/>
          <w:lang w:eastAsia="zh-CN"/>
        </w:rPr>
        <w:t>根据工程资料及现场实际监测，本项目</w:t>
      </w:r>
      <w:r>
        <w:rPr>
          <w:rFonts w:hint="eastAsia"/>
          <w:color w:val="auto"/>
          <w:lang w:val="en-US" w:eastAsia="zh-CN"/>
        </w:rPr>
        <w:t>建设</w:t>
      </w:r>
      <w:r>
        <w:rPr>
          <w:rFonts w:hint="eastAsia" w:eastAsia="仿宋_GB2312"/>
          <w:color w:val="auto"/>
          <w:lang w:eastAsia="zh-CN"/>
        </w:rPr>
        <w:t>实际总占地</w:t>
      </w:r>
      <w:r>
        <w:rPr>
          <w:rFonts w:hint="eastAsia"/>
          <w:color w:val="auto"/>
          <w:lang w:val="en-US" w:eastAsia="zh-CN"/>
        </w:rPr>
        <w:t>64.73</w:t>
      </w:r>
      <w:r>
        <w:rPr>
          <w:rFonts w:hint="eastAsia" w:eastAsia="仿宋_GB2312"/>
          <w:color w:val="auto"/>
          <w:lang w:val="en-US" w:eastAsia="zh-CN"/>
        </w:rPr>
        <w:t>hm</w:t>
      </w:r>
      <w:r>
        <w:rPr>
          <w:rFonts w:hint="eastAsia" w:eastAsia="仿宋_GB2312"/>
          <w:color w:val="auto"/>
          <w:vertAlign w:val="superscript"/>
          <w:lang w:val="en-US" w:eastAsia="zh-CN"/>
        </w:rPr>
        <w:t>2</w:t>
      </w:r>
      <w:r>
        <w:rPr>
          <w:rFonts w:hint="eastAsia" w:eastAsia="仿宋_GB2312"/>
          <w:color w:val="auto"/>
          <w:lang w:val="en-US" w:eastAsia="zh-CN"/>
        </w:rPr>
        <w:t>，永久占地</w:t>
      </w:r>
      <w:r>
        <w:rPr>
          <w:rFonts w:hint="eastAsia"/>
          <w:color w:val="auto"/>
          <w:lang w:val="en-US" w:eastAsia="zh-CN"/>
        </w:rPr>
        <w:t>62.17</w:t>
      </w:r>
      <w:r>
        <w:rPr>
          <w:rFonts w:hint="eastAsia" w:eastAsia="仿宋_GB2312"/>
          <w:color w:val="auto"/>
          <w:lang w:val="en-US" w:eastAsia="zh-CN"/>
        </w:rPr>
        <w:t>hm</w:t>
      </w:r>
      <w:r>
        <w:rPr>
          <w:rFonts w:hint="eastAsia" w:eastAsia="仿宋_GB2312"/>
          <w:color w:val="auto"/>
          <w:vertAlign w:val="superscript"/>
          <w:lang w:val="en-US" w:eastAsia="zh-CN"/>
        </w:rPr>
        <w:t>2</w:t>
      </w:r>
      <w:r>
        <w:rPr>
          <w:rFonts w:hint="eastAsia" w:eastAsia="仿宋_GB2312"/>
          <w:color w:val="auto"/>
          <w:lang w:val="en-US" w:eastAsia="zh-CN"/>
        </w:rPr>
        <w:t>，临时占地</w:t>
      </w:r>
      <w:r>
        <w:rPr>
          <w:rFonts w:hint="eastAsia"/>
          <w:color w:val="auto"/>
          <w:lang w:val="en-US" w:eastAsia="zh-CN"/>
        </w:rPr>
        <w:t>2.56</w:t>
      </w:r>
      <w:r>
        <w:rPr>
          <w:rFonts w:hint="eastAsia" w:eastAsia="仿宋_GB2312"/>
          <w:color w:val="auto"/>
          <w:lang w:val="en-US" w:eastAsia="zh-CN"/>
        </w:rPr>
        <w:t>hm</w:t>
      </w:r>
      <w:r>
        <w:rPr>
          <w:rFonts w:hint="eastAsia" w:eastAsia="仿宋_GB2312"/>
          <w:color w:val="auto"/>
          <w:vertAlign w:val="superscript"/>
          <w:lang w:val="en-US" w:eastAsia="zh-CN"/>
        </w:rPr>
        <w:t>2</w:t>
      </w:r>
      <w:r>
        <w:rPr>
          <w:rFonts w:hint="eastAsia" w:eastAsia="仿宋_GB2312"/>
          <w:color w:val="auto"/>
          <w:lang w:val="en-US" w:eastAsia="zh-CN"/>
        </w:rPr>
        <w:t>。</w:t>
      </w:r>
      <w:r>
        <w:rPr>
          <w:rFonts w:hint="eastAsia"/>
          <w:color w:val="auto"/>
          <w:lang w:val="en-US" w:eastAsia="zh-CN"/>
        </w:rPr>
        <w:t>由于4#弃渣场、6#弃渣场和拌合站部分区域分别被西城区教育城、九峰兔业养殖和冷库茶叶加工厂征用，征用面积共计0.58</w:t>
      </w:r>
      <w:r>
        <w:rPr>
          <w:rFonts w:hint="eastAsia" w:eastAsia="仿宋_GB2312"/>
          <w:color w:val="auto"/>
          <w:lang w:val="en-US" w:eastAsia="zh-CN"/>
        </w:rPr>
        <w:t>hm</w:t>
      </w:r>
      <w:r>
        <w:rPr>
          <w:rFonts w:hint="eastAsia" w:eastAsia="仿宋_GB2312"/>
          <w:color w:val="auto"/>
          <w:vertAlign w:val="superscript"/>
          <w:lang w:val="en-US" w:eastAsia="zh-CN"/>
        </w:rPr>
        <w:t>2</w:t>
      </w:r>
      <w:r>
        <w:rPr>
          <w:rFonts w:hint="eastAsia"/>
          <w:color w:val="auto"/>
          <w:lang w:val="en-US" w:eastAsia="zh-CN"/>
        </w:rPr>
        <w:t>，因此本项目占地共计64.15</w:t>
      </w:r>
      <w:r>
        <w:rPr>
          <w:rFonts w:hint="eastAsia" w:eastAsia="仿宋_GB2312"/>
          <w:color w:val="auto"/>
          <w:lang w:val="en-US" w:eastAsia="zh-CN"/>
        </w:rPr>
        <w:t>hm</w:t>
      </w:r>
      <w:r>
        <w:rPr>
          <w:rFonts w:hint="eastAsia" w:eastAsia="仿宋_GB2312"/>
          <w:color w:val="auto"/>
          <w:vertAlign w:val="superscript"/>
          <w:lang w:val="en-US" w:eastAsia="zh-CN"/>
        </w:rPr>
        <w:t>2</w:t>
      </w:r>
      <w:r>
        <w:rPr>
          <w:rFonts w:hint="eastAsia"/>
          <w:color w:val="auto"/>
          <w:lang w:val="en-US" w:eastAsia="zh-CN"/>
        </w:rPr>
        <w:t>，其中永久占地61.59</w:t>
      </w:r>
      <w:r>
        <w:rPr>
          <w:rFonts w:hint="eastAsia" w:eastAsia="仿宋_GB2312"/>
          <w:color w:val="auto"/>
          <w:lang w:val="en-US" w:eastAsia="zh-CN"/>
        </w:rPr>
        <w:t>hm</w:t>
      </w:r>
      <w:r>
        <w:rPr>
          <w:rFonts w:hint="eastAsia" w:eastAsia="仿宋_GB2312"/>
          <w:color w:val="auto"/>
          <w:vertAlign w:val="superscript"/>
          <w:lang w:val="en-US" w:eastAsia="zh-CN"/>
        </w:rPr>
        <w:t>2</w:t>
      </w:r>
      <w:r>
        <w:rPr>
          <w:rFonts w:hint="eastAsia"/>
          <w:color w:val="auto"/>
          <w:lang w:val="en-US" w:eastAsia="zh-CN"/>
        </w:rPr>
        <w:t>，临时占地2.56</w:t>
      </w:r>
      <w:r>
        <w:rPr>
          <w:rFonts w:hint="eastAsia" w:eastAsia="仿宋_GB2312"/>
          <w:color w:val="auto"/>
          <w:lang w:val="en-US" w:eastAsia="zh-CN"/>
        </w:rPr>
        <w:t>hm</w:t>
      </w:r>
      <w:r>
        <w:rPr>
          <w:rFonts w:hint="eastAsia" w:eastAsia="仿宋_GB2312"/>
          <w:color w:val="auto"/>
          <w:vertAlign w:val="superscript"/>
          <w:lang w:val="en-US" w:eastAsia="zh-CN"/>
        </w:rPr>
        <w:t>2</w:t>
      </w:r>
      <w:r>
        <w:rPr>
          <w:rFonts w:hint="eastAsia"/>
          <w:color w:val="auto"/>
          <w:lang w:val="en-US" w:eastAsia="zh-CN"/>
        </w:rPr>
        <w:t>。</w:t>
      </w:r>
      <w:r>
        <w:rPr>
          <w:rFonts w:eastAsia="仿宋_GB2312"/>
          <w:color w:val="auto"/>
        </w:rPr>
        <w:t>占地类型及数量详见表</w:t>
      </w:r>
      <w:r>
        <w:rPr>
          <w:rFonts w:hint="eastAsia" w:eastAsia="仿宋_GB2312"/>
          <w:color w:val="auto"/>
          <w:lang w:val="en-US" w:eastAsia="zh-CN"/>
        </w:rPr>
        <w:t>1-</w:t>
      </w:r>
      <w:r>
        <w:rPr>
          <w:rFonts w:hint="eastAsia"/>
          <w:color w:val="auto"/>
          <w:lang w:val="en-US" w:eastAsia="zh-CN"/>
        </w:rPr>
        <w:t>4</w:t>
      </w:r>
      <w:r>
        <w:rPr>
          <w:rFonts w:hint="eastAsia" w:ascii="Times New Roman" w:hAnsi="Times New Roman" w:eastAsia="仿宋_GB2312" w:cs="Times New Roman"/>
          <w:color w:val="auto"/>
          <w:spacing w:val="0"/>
          <w:sz w:val="24"/>
        </w:rPr>
        <w:t>。</w:t>
      </w:r>
    </w:p>
    <w:p>
      <w:pPr>
        <w:pStyle w:val="6"/>
        <w:rPr>
          <w:rFonts w:hint="eastAsia" w:ascii="Times New Roman" w:hAnsi="Times New Roman" w:eastAsia="仿宋_GB2312" w:cs="Times New Roman"/>
          <w:b/>
          <w:bCs/>
          <w:color w:val="auto"/>
          <w:spacing w:val="0"/>
          <w:sz w:val="24"/>
          <w:vertAlign w:val="superscript"/>
          <w:lang w:eastAsia="zh-CN"/>
        </w:rPr>
      </w:pPr>
      <w:r>
        <w:rPr>
          <w:rFonts w:ascii="Times New Roman" w:hAnsi="Times New Roman" w:eastAsia="仿宋_GB2312" w:cs="Times New Roman"/>
          <w:color w:val="auto"/>
          <w:spacing w:val="0"/>
          <w:sz w:val="24"/>
        </w:rPr>
        <w:t>表</w:t>
      </w:r>
      <w:r>
        <w:rPr>
          <w:rFonts w:hint="eastAsia" w:ascii="Times New Roman" w:hAnsi="Times New Roman" w:eastAsia="仿宋_GB2312" w:cs="Times New Roman"/>
          <w:color w:val="auto"/>
          <w:spacing w:val="0"/>
          <w:sz w:val="24"/>
          <w:lang w:val="en-US" w:eastAsia="zh-CN"/>
        </w:rPr>
        <w:t>1</w:t>
      </w:r>
      <w:r>
        <w:rPr>
          <w:rFonts w:ascii="Times New Roman" w:hAnsi="Times New Roman" w:eastAsia="仿宋_GB2312" w:cs="Times New Roman"/>
          <w:color w:val="auto"/>
          <w:spacing w:val="0"/>
          <w:sz w:val="24"/>
        </w:rPr>
        <w:t>-</w:t>
      </w:r>
      <w:r>
        <w:rPr>
          <w:rFonts w:hint="eastAsia" w:eastAsia="仿宋_GB2312" w:cs="Times New Roman"/>
          <w:color w:val="auto"/>
          <w:spacing w:val="0"/>
          <w:sz w:val="24"/>
          <w:lang w:val="en-US" w:eastAsia="zh-CN"/>
        </w:rPr>
        <w:t>4</w:t>
      </w:r>
      <w:r>
        <w:rPr>
          <w:rFonts w:ascii="Times New Roman" w:hAnsi="Times New Roman" w:eastAsia="仿宋_GB2312" w:cs="Times New Roman"/>
          <w:color w:val="auto"/>
          <w:spacing w:val="0"/>
          <w:sz w:val="24"/>
        </w:rPr>
        <w:t xml:space="preserve">        项目占地情况表              单位：h</w:t>
      </w:r>
      <w:r>
        <w:rPr>
          <w:rFonts w:hint="eastAsia" w:eastAsia="仿宋_GB2312" w:cs="Times New Roman"/>
          <w:color w:val="auto"/>
          <w:spacing w:val="0"/>
          <w:sz w:val="24"/>
          <w:lang w:eastAsia="zh-CN"/>
        </w:rPr>
        <w:t>m</w:t>
      </w:r>
      <w:r>
        <w:rPr>
          <w:rFonts w:hint="eastAsia" w:eastAsia="仿宋_GB2312" w:cs="Times New Roman"/>
          <w:color w:val="auto"/>
          <w:spacing w:val="0"/>
          <w:sz w:val="24"/>
          <w:vertAlign w:val="superscript"/>
          <w:lang w:val="en-US" w:eastAsia="zh-CN"/>
        </w:rPr>
        <w:t>2</w:t>
      </w:r>
    </w:p>
    <w:tbl>
      <w:tblPr>
        <w:tblStyle w:val="11"/>
        <w:tblW w:w="88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469"/>
        <w:gridCol w:w="1469"/>
        <w:gridCol w:w="1469"/>
        <w:gridCol w:w="1469"/>
        <w:gridCol w:w="1470"/>
        <w:gridCol w:w="1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5" w:hRule="atLeast"/>
        </w:trPr>
        <w:tc>
          <w:tcPr>
            <w:tcW w:w="4407" w:type="dxa"/>
            <w:gridSpan w:val="3"/>
            <w:tcBorders>
              <w:tl2br w:val="nil"/>
              <w:tr2bl w:val="nil"/>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项目组成</w:t>
            </w:r>
          </w:p>
        </w:tc>
        <w:tc>
          <w:tcPr>
            <w:tcW w:w="1469" w:type="dxa"/>
            <w:vMerge w:val="restart"/>
            <w:tcBorders>
              <w:tl2br w:val="nil"/>
              <w:tr2bl w:val="nil"/>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永久占地</w:t>
            </w:r>
          </w:p>
        </w:tc>
        <w:tc>
          <w:tcPr>
            <w:tcW w:w="1470" w:type="dxa"/>
            <w:vMerge w:val="restart"/>
            <w:tcBorders>
              <w:tl2br w:val="nil"/>
              <w:tr2bl w:val="nil"/>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临时占地</w:t>
            </w:r>
          </w:p>
        </w:tc>
        <w:tc>
          <w:tcPr>
            <w:tcW w:w="1469" w:type="dxa"/>
            <w:vMerge w:val="restart"/>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1469" w:type="dxa"/>
            <w:tcBorders>
              <w:tl2br w:val="nil"/>
              <w:tr2bl w:val="nil"/>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一级分区</w:t>
            </w:r>
          </w:p>
        </w:tc>
        <w:tc>
          <w:tcPr>
            <w:tcW w:w="2938" w:type="dxa"/>
            <w:gridSpan w:val="2"/>
            <w:tcBorders>
              <w:tl2br w:val="nil"/>
              <w:tr2bl w:val="nil"/>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二级分区</w:t>
            </w:r>
          </w:p>
        </w:tc>
        <w:tc>
          <w:tcPr>
            <w:tcW w:w="1469" w:type="dxa"/>
            <w:vMerge w:val="continue"/>
            <w:tcBorders>
              <w:tl2br w:val="nil"/>
              <w:tr2bl w:val="nil"/>
            </w:tcBorders>
            <w:shd w:val="clear" w:color="auto" w:fill="auto"/>
            <w:tcMar>
              <w:top w:w="15" w:type="dxa"/>
              <w:left w:w="15" w:type="dxa"/>
              <w:right w:w="15" w:type="dxa"/>
            </w:tcMar>
            <w:vAlign w:val="center"/>
          </w:tcPr>
          <w:p>
            <w:pPr>
              <w:pStyle w:val="16"/>
              <w:rPr>
                <w:rFonts w:hint="default"/>
                <w:color w:val="auto"/>
              </w:rPr>
            </w:pPr>
          </w:p>
        </w:tc>
        <w:tc>
          <w:tcPr>
            <w:tcW w:w="1470" w:type="dxa"/>
            <w:vMerge w:val="continue"/>
            <w:tcBorders>
              <w:tl2br w:val="nil"/>
              <w:tr2bl w:val="nil"/>
            </w:tcBorders>
            <w:shd w:val="clear" w:color="auto" w:fill="auto"/>
            <w:tcMar>
              <w:top w:w="15" w:type="dxa"/>
              <w:left w:w="15" w:type="dxa"/>
              <w:right w:w="15" w:type="dxa"/>
            </w:tcMar>
            <w:vAlign w:val="center"/>
          </w:tcPr>
          <w:p>
            <w:pPr>
              <w:pStyle w:val="16"/>
              <w:rPr>
                <w:rFonts w:hint="default"/>
                <w:color w:val="auto"/>
              </w:rPr>
            </w:pPr>
          </w:p>
        </w:tc>
        <w:tc>
          <w:tcPr>
            <w:tcW w:w="1469" w:type="dxa"/>
            <w:vMerge w:val="continue"/>
            <w:tcBorders>
              <w:tl2br w:val="nil"/>
              <w:tr2bl w:val="nil"/>
            </w:tcBorders>
            <w:shd w:val="clear" w:color="auto" w:fill="auto"/>
            <w:tcMar>
              <w:top w:w="15" w:type="dxa"/>
              <w:left w:w="15" w:type="dxa"/>
              <w:right w:w="15" w:type="dxa"/>
            </w:tcMar>
            <w:vAlign w:val="center"/>
          </w:tcPr>
          <w:p>
            <w:pPr>
              <w:pStyle w:val="16"/>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4407" w:type="dxa"/>
            <w:gridSpan w:val="3"/>
            <w:tcBorders>
              <w:tl2br w:val="nil"/>
              <w:tr2bl w:val="nil"/>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路基工程区</w:t>
            </w:r>
          </w:p>
        </w:tc>
        <w:tc>
          <w:tcPr>
            <w:tcW w:w="1469"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58.19</w:t>
            </w:r>
          </w:p>
        </w:tc>
        <w:tc>
          <w:tcPr>
            <w:tcW w:w="1470"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469"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58.19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4407" w:type="dxa"/>
            <w:gridSpan w:val="3"/>
            <w:tcBorders>
              <w:tl2br w:val="nil"/>
              <w:tr2bl w:val="nil"/>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桥梁工程区</w:t>
            </w:r>
          </w:p>
        </w:tc>
        <w:tc>
          <w:tcPr>
            <w:tcW w:w="1469"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0.19</w:t>
            </w:r>
          </w:p>
        </w:tc>
        <w:tc>
          <w:tcPr>
            <w:tcW w:w="1470"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469"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4407" w:type="dxa"/>
            <w:gridSpan w:val="3"/>
            <w:tcBorders>
              <w:tl2br w:val="nil"/>
              <w:tr2bl w:val="nil"/>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料场区</w:t>
            </w:r>
          </w:p>
        </w:tc>
        <w:tc>
          <w:tcPr>
            <w:tcW w:w="1469"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470"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2.26</w:t>
            </w:r>
          </w:p>
        </w:tc>
        <w:tc>
          <w:tcPr>
            <w:tcW w:w="1469"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38" w:type="dxa"/>
            <w:gridSpan w:val="2"/>
            <w:vMerge w:val="restart"/>
            <w:tcBorders>
              <w:tl2br w:val="nil"/>
              <w:tr2bl w:val="nil"/>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弃渣场区</w:t>
            </w:r>
          </w:p>
        </w:tc>
        <w:tc>
          <w:tcPr>
            <w:tcW w:w="1469" w:type="dxa"/>
            <w:tcBorders>
              <w:tl2br w:val="nil"/>
              <w:tr2bl w:val="nil"/>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1#</w:t>
            </w:r>
            <w:r>
              <w:rPr>
                <w:color w:val="auto"/>
                <w:lang w:val="en-US" w:eastAsia="zh-CN"/>
              </w:rPr>
              <w:t>弃渣场</w:t>
            </w:r>
          </w:p>
        </w:tc>
        <w:tc>
          <w:tcPr>
            <w:tcW w:w="1469"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0.46</w:t>
            </w:r>
          </w:p>
        </w:tc>
        <w:tc>
          <w:tcPr>
            <w:tcW w:w="1470"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469"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38" w:type="dxa"/>
            <w:gridSpan w:val="2"/>
            <w:vMerge w:val="continue"/>
            <w:tcBorders>
              <w:tl2br w:val="nil"/>
              <w:tr2bl w:val="nil"/>
            </w:tcBorders>
            <w:shd w:val="clear" w:color="auto" w:fill="auto"/>
            <w:tcMar>
              <w:top w:w="15" w:type="dxa"/>
              <w:left w:w="15" w:type="dxa"/>
              <w:right w:w="15" w:type="dxa"/>
            </w:tcMar>
            <w:vAlign w:val="center"/>
          </w:tcPr>
          <w:p>
            <w:pPr>
              <w:pStyle w:val="16"/>
              <w:rPr>
                <w:rFonts w:hint="default"/>
                <w:color w:val="auto"/>
              </w:rPr>
            </w:pPr>
          </w:p>
        </w:tc>
        <w:tc>
          <w:tcPr>
            <w:tcW w:w="1469" w:type="dxa"/>
            <w:tcBorders>
              <w:tl2br w:val="nil"/>
              <w:tr2bl w:val="nil"/>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2#</w:t>
            </w:r>
            <w:r>
              <w:rPr>
                <w:color w:val="auto"/>
                <w:lang w:val="en-US" w:eastAsia="zh-CN"/>
              </w:rPr>
              <w:t>弃渣场</w:t>
            </w:r>
          </w:p>
        </w:tc>
        <w:tc>
          <w:tcPr>
            <w:tcW w:w="1469"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0.79</w:t>
            </w:r>
          </w:p>
        </w:tc>
        <w:tc>
          <w:tcPr>
            <w:tcW w:w="1470"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469"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38" w:type="dxa"/>
            <w:gridSpan w:val="2"/>
            <w:vMerge w:val="continue"/>
            <w:tcBorders>
              <w:tl2br w:val="nil"/>
              <w:tr2bl w:val="nil"/>
            </w:tcBorders>
            <w:shd w:val="clear" w:color="auto" w:fill="auto"/>
            <w:tcMar>
              <w:top w:w="15" w:type="dxa"/>
              <w:left w:w="15" w:type="dxa"/>
              <w:right w:w="15" w:type="dxa"/>
            </w:tcMar>
            <w:vAlign w:val="center"/>
          </w:tcPr>
          <w:p>
            <w:pPr>
              <w:pStyle w:val="16"/>
              <w:rPr>
                <w:rFonts w:hint="default"/>
                <w:color w:val="auto"/>
              </w:rPr>
            </w:pPr>
          </w:p>
        </w:tc>
        <w:tc>
          <w:tcPr>
            <w:tcW w:w="1469" w:type="dxa"/>
            <w:tcBorders>
              <w:tl2br w:val="nil"/>
              <w:tr2bl w:val="nil"/>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3#</w:t>
            </w:r>
            <w:r>
              <w:rPr>
                <w:color w:val="auto"/>
                <w:lang w:val="en-US" w:eastAsia="zh-CN"/>
              </w:rPr>
              <w:t>弃渣场</w:t>
            </w:r>
          </w:p>
        </w:tc>
        <w:tc>
          <w:tcPr>
            <w:tcW w:w="1469"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0.86</w:t>
            </w:r>
          </w:p>
        </w:tc>
        <w:tc>
          <w:tcPr>
            <w:tcW w:w="1470"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469"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38" w:type="dxa"/>
            <w:gridSpan w:val="2"/>
            <w:vMerge w:val="continue"/>
            <w:tcBorders>
              <w:tl2br w:val="nil"/>
              <w:tr2bl w:val="nil"/>
            </w:tcBorders>
            <w:shd w:val="clear" w:color="auto" w:fill="auto"/>
            <w:tcMar>
              <w:top w:w="15" w:type="dxa"/>
              <w:left w:w="15" w:type="dxa"/>
              <w:right w:w="15" w:type="dxa"/>
            </w:tcMar>
            <w:vAlign w:val="center"/>
          </w:tcPr>
          <w:p>
            <w:pPr>
              <w:pStyle w:val="16"/>
              <w:rPr>
                <w:rFonts w:hint="default"/>
                <w:color w:val="auto"/>
              </w:rPr>
            </w:pPr>
          </w:p>
        </w:tc>
        <w:tc>
          <w:tcPr>
            <w:tcW w:w="1469" w:type="dxa"/>
            <w:tcBorders>
              <w:tl2br w:val="nil"/>
              <w:tr2bl w:val="nil"/>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5#</w:t>
            </w:r>
            <w:r>
              <w:rPr>
                <w:color w:val="auto"/>
                <w:lang w:val="en-US" w:eastAsia="zh-CN"/>
              </w:rPr>
              <w:t>弃渣场</w:t>
            </w:r>
          </w:p>
        </w:tc>
        <w:tc>
          <w:tcPr>
            <w:tcW w:w="1469"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1.1</w:t>
            </w:r>
          </w:p>
        </w:tc>
        <w:tc>
          <w:tcPr>
            <w:tcW w:w="1470"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469"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38" w:type="dxa"/>
            <w:gridSpan w:val="2"/>
            <w:vMerge w:val="continue"/>
            <w:tcBorders>
              <w:tl2br w:val="nil"/>
              <w:tr2bl w:val="nil"/>
            </w:tcBorders>
            <w:shd w:val="clear" w:color="auto" w:fill="auto"/>
            <w:tcMar>
              <w:top w:w="15" w:type="dxa"/>
              <w:left w:w="15" w:type="dxa"/>
              <w:right w:w="15" w:type="dxa"/>
            </w:tcMar>
            <w:vAlign w:val="center"/>
          </w:tcPr>
          <w:p>
            <w:pPr>
              <w:pStyle w:val="16"/>
              <w:rPr>
                <w:rFonts w:hint="default"/>
                <w:color w:val="auto"/>
              </w:rPr>
            </w:pPr>
          </w:p>
        </w:tc>
        <w:tc>
          <w:tcPr>
            <w:tcW w:w="1469" w:type="dxa"/>
            <w:tcBorders>
              <w:tl2br w:val="nil"/>
              <w:tr2bl w:val="nil"/>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合计</w:t>
            </w:r>
          </w:p>
        </w:tc>
        <w:tc>
          <w:tcPr>
            <w:tcW w:w="1469"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3.21</w:t>
            </w:r>
          </w:p>
        </w:tc>
        <w:tc>
          <w:tcPr>
            <w:tcW w:w="1470"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469"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4407" w:type="dxa"/>
            <w:gridSpan w:val="3"/>
            <w:tcBorders>
              <w:tl2br w:val="nil"/>
              <w:tr2bl w:val="nil"/>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拌合站区</w:t>
            </w:r>
          </w:p>
        </w:tc>
        <w:tc>
          <w:tcPr>
            <w:tcW w:w="1469"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470"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0.3</w:t>
            </w:r>
          </w:p>
        </w:tc>
        <w:tc>
          <w:tcPr>
            <w:tcW w:w="1469"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4407" w:type="dxa"/>
            <w:gridSpan w:val="3"/>
            <w:tcBorders>
              <w:tl2br w:val="nil"/>
              <w:tr2bl w:val="nil"/>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合计</w:t>
            </w:r>
          </w:p>
        </w:tc>
        <w:tc>
          <w:tcPr>
            <w:tcW w:w="1469"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61.59</w:t>
            </w:r>
          </w:p>
        </w:tc>
        <w:tc>
          <w:tcPr>
            <w:tcW w:w="1470"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2.56</w:t>
            </w:r>
          </w:p>
        </w:tc>
        <w:tc>
          <w:tcPr>
            <w:tcW w:w="1469"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64.15</w:t>
            </w:r>
          </w:p>
        </w:tc>
      </w:tr>
    </w:tbl>
    <w:p>
      <w:pPr>
        <w:ind w:left="0" w:leftChars="0" w:firstLine="0" w:firstLineChars="0"/>
        <w:rPr>
          <w:rFonts w:ascii="Times New Roman" w:hAnsi="Times New Roman" w:eastAsia="仿宋_GB2312" w:cs="Times New Roman"/>
          <w:color w:val="auto"/>
          <w:spacing w:val="0"/>
          <w:sz w:val="24"/>
        </w:rPr>
      </w:pPr>
    </w:p>
    <w:p>
      <w:pPr>
        <w:pStyle w:val="4"/>
        <w:rPr>
          <w:color w:val="auto"/>
        </w:rPr>
      </w:pPr>
      <w:r>
        <w:rPr>
          <w:rFonts w:hint="eastAsia"/>
          <w:color w:val="auto"/>
          <w:lang w:val="en-US" w:eastAsia="zh-CN"/>
        </w:rPr>
        <w:t>1.1.6</w:t>
      </w:r>
      <w:r>
        <w:rPr>
          <w:color w:val="auto"/>
        </w:rPr>
        <w:t>土石方量</w:t>
      </w:r>
    </w:p>
    <w:p>
      <w:pPr>
        <w:bidi w:val="0"/>
        <w:rPr>
          <w:rFonts w:hint="eastAsia"/>
          <w:color w:val="auto"/>
        </w:rPr>
      </w:pPr>
      <w:r>
        <w:rPr>
          <w:rFonts w:hint="eastAsia"/>
          <w:color w:val="auto"/>
        </w:rPr>
        <w:t>本项目</w:t>
      </w:r>
      <w:r>
        <w:rPr>
          <w:rFonts w:hint="eastAsia"/>
          <w:color w:val="auto"/>
          <w:lang w:val="en-US" w:eastAsia="zh-CN"/>
        </w:rPr>
        <w:t>水保方案设计</w:t>
      </w:r>
      <w:r>
        <w:rPr>
          <w:rFonts w:hint="eastAsia"/>
          <w:color w:val="auto"/>
        </w:rPr>
        <w:t>建设共开挖土石方量788534m</w:t>
      </w:r>
      <w:r>
        <w:rPr>
          <w:rFonts w:hint="eastAsia"/>
          <w:color w:val="auto"/>
          <w:vertAlign w:val="superscript"/>
        </w:rPr>
        <w:t>3</w:t>
      </w:r>
      <w:r>
        <w:rPr>
          <w:rFonts w:hint="eastAsia"/>
          <w:color w:val="auto"/>
        </w:rPr>
        <w:t>（石方446510m</w:t>
      </w:r>
      <w:r>
        <w:rPr>
          <w:rFonts w:hint="eastAsia"/>
          <w:color w:val="auto"/>
          <w:vertAlign w:val="superscript"/>
        </w:rPr>
        <w:t>3</w:t>
      </w:r>
      <w:r>
        <w:rPr>
          <w:rFonts w:hint="eastAsia"/>
          <w:color w:val="auto"/>
        </w:rPr>
        <w:t>，土方328763m</w:t>
      </w:r>
      <w:r>
        <w:rPr>
          <w:rFonts w:hint="eastAsia"/>
          <w:color w:val="auto"/>
          <w:vertAlign w:val="superscript"/>
        </w:rPr>
        <w:t>3</w:t>
      </w:r>
      <w:r>
        <w:rPr>
          <w:rFonts w:hint="eastAsia"/>
          <w:color w:val="auto"/>
        </w:rPr>
        <w:t>，表土6090m</w:t>
      </w:r>
      <w:r>
        <w:rPr>
          <w:rFonts w:hint="eastAsia"/>
          <w:color w:val="auto"/>
          <w:vertAlign w:val="superscript"/>
        </w:rPr>
        <w:t>3</w:t>
      </w:r>
      <w:r>
        <w:rPr>
          <w:rFonts w:hint="eastAsia"/>
          <w:color w:val="auto"/>
        </w:rPr>
        <w:t>，建筑垃圾7170m</w:t>
      </w:r>
      <w:r>
        <w:rPr>
          <w:rFonts w:hint="eastAsia"/>
          <w:color w:val="auto"/>
          <w:vertAlign w:val="superscript"/>
        </w:rPr>
        <w:t>3</w:t>
      </w:r>
      <w:r>
        <w:rPr>
          <w:rFonts w:hint="eastAsia"/>
          <w:color w:val="auto"/>
        </w:rPr>
        <w:t>），回填土石方量235505m</w:t>
      </w:r>
      <w:r>
        <w:rPr>
          <w:rFonts w:hint="eastAsia"/>
          <w:color w:val="auto"/>
          <w:vertAlign w:val="superscript"/>
        </w:rPr>
        <w:t>3</w:t>
      </w:r>
      <w:r>
        <w:rPr>
          <w:rFonts w:hint="eastAsia"/>
          <w:color w:val="auto"/>
        </w:rPr>
        <w:t>（石方60298m</w:t>
      </w:r>
      <w:r>
        <w:rPr>
          <w:rFonts w:hint="eastAsia"/>
          <w:color w:val="auto"/>
          <w:vertAlign w:val="superscript"/>
        </w:rPr>
        <w:t>3</w:t>
      </w:r>
      <w:r>
        <w:rPr>
          <w:rFonts w:hint="eastAsia"/>
          <w:color w:val="auto"/>
        </w:rPr>
        <w:t>，土方169117m</w:t>
      </w:r>
      <w:r>
        <w:rPr>
          <w:rFonts w:hint="eastAsia"/>
          <w:color w:val="auto"/>
          <w:vertAlign w:val="superscript"/>
        </w:rPr>
        <w:t>3</w:t>
      </w:r>
      <w:r>
        <w:rPr>
          <w:rFonts w:hint="eastAsia"/>
          <w:color w:val="auto"/>
        </w:rPr>
        <w:t>，表土6090m</w:t>
      </w:r>
      <w:r>
        <w:rPr>
          <w:rFonts w:hint="eastAsia"/>
          <w:color w:val="auto"/>
          <w:vertAlign w:val="superscript"/>
        </w:rPr>
        <w:t>3</w:t>
      </w:r>
      <w:r>
        <w:rPr>
          <w:rFonts w:hint="eastAsia"/>
          <w:color w:val="auto"/>
        </w:rPr>
        <w:t>），废弃土石方量553028m</w:t>
      </w:r>
      <w:r>
        <w:rPr>
          <w:rFonts w:hint="eastAsia"/>
          <w:color w:val="auto"/>
          <w:vertAlign w:val="superscript"/>
        </w:rPr>
        <w:t>3</w:t>
      </w:r>
      <w:r>
        <w:rPr>
          <w:rFonts w:hint="eastAsia"/>
          <w:color w:val="auto"/>
        </w:rPr>
        <w:t>（石方386212m</w:t>
      </w:r>
      <w:r>
        <w:rPr>
          <w:rFonts w:hint="eastAsia"/>
          <w:color w:val="auto"/>
          <w:vertAlign w:val="superscript"/>
        </w:rPr>
        <w:t>3</w:t>
      </w:r>
      <w:r>
        <w:rPr>
          <w:rFonts w:hint="eastAsia"/>
          <w:color w:val="auto"/>
        </w:rPr>
        <w:t>，土方159646m</w:t>
      </w:r>
      <w:r>
        <w:rPr>
          <w:rFonts w:hint="eastAsia"/>
          <w:color w:val="auto"/>
          <w:vertAlign w:val="superscript"/>
        </w:rPr>
        <w:t>3</w:t>
      </w:r>
      <w:r>
        <w:rPr>
          <w:rFonts w:hint="eastAsia"/>
          <w:color w:val="auto"/>
        </w:rPr>
        <w:t>，建筑垃圾7170m</w:t>
      </w:r>
      <w:r>
        <w:rPr>
          <w:rFonts w:hint="eastAsia"/>
          <w:color w:val="auto"/>
          <w:vertAlign w:val="superscript"/>
        </w:rPr>
        <w:t>3</w:t>
      </w:r>
      <w:r>
        <w:rPr>
          <w:rFonts w:hint="eastAsia"/>
          <w:color w:val="auto"/>
        </w:rPr>
        <w:t>），废弃方中有取料场区开挖的石方约23万m</w:t>
      </w:r>
      <w:r>
        <w:rPr>
          <w:rFonts w:hint="eastAsia"/>
          <w:color w:val="auto"/>
          <w:vertAlign w:val="superscript"/>
        </w:rPr>
        <w:t>3</w:t>
      </w:r>
      <w:r>
        <w:rPr>
          <w:rFonts w:hint="eastAsia"/>
          <w:color w:val="auto"/>
        </w:rPr>
        <w:t>，用于边坡挡墙、道路边沟及挡渣墙等制作。</w:t>
      </w:r>
    </w:p>
    <w:p>
      <w:pPr>
        <w:spacing w:line="360" w:lineRule="auto"/>
        <w:rPr>
          <w:rFonts w:hint="eastAsia" w:ascii="Times New Roman" w:hAnsi="Times New Roman" w:eastAsia="仿宋_GB2312"/>
          <w:color w:val="auto"/>
          <w:kern w:val="44"/>
          <w:sz w:val="24"/>
          <w:lang w:eastAsia="zh-CN"/>
        </w:rPr>
      </w:pPr>
      <w:r>
        <w:rPr>
          <w:rFonts w:hint="eastAsia"/>
          <w:color w:val="auto"/>
        </w:rPr>
        <w:t>经建设单位</w:t>
      </w:r>
      <w:r>
        <w:rPr>
          <w:color w:val="auto"/>
        </w:rPr>
        <w:t>提供资料</w:t>
      </w:r>
      <w:r>
        <w:rPr>
          <w:rFonts w:hint="eastAsia"/>
          <w:color w:val="auto"/>
        </w:rPr>
        <w:t>，本项目实际开挖土石方量</w:t>
      </w:r>
      <w:r>
        <w:rPr>
          <w:rFonts w:hint="eastAsia"/>
          <w:color w:val="auto"/>
          <w:lang w:val="en-US" w:eastAsia="zh-CN"/>
        </w:rPr>
        <w:t>78.85</w:t>
      </w:r>
      <w:r>
        <w:rPr>
          <w:rFonts w:hint="eastAsia"/>
          <w:color w:val="auto"/>
        </w:rPr>
        <w:t>万方m</w:t>
      </w:r>
      <w:r>
        <w:rPr>
          <w:rFonts w:hint="eastAsia"/>
          <w:color w:val="auto"/>
          <w:vertAlign w:val="superscript"/>
        </w:rPr>
        <w:t>3</w:t>
      </w:r>
      <w:r>
        <w:rPr>
          <w:rFonts w:hint="eastAsia"/>
          <w:color w:val="auto"/>
        </w:rPr>
        <w:t>（石方</w:t>
      </w:r>
      <w:r>
        <w:rPr>
          <w:color w:val="auto"/>
        </w:rPr>
        <w:t>42.15</w:t>
      </w:r>
      <w:r>
        <w:rPr>
          <w:rFonts w:hint="eastAsia"/>
          <w:color w:val="auto"/>
        </w:rPr>
        <w:t>万m</w:t>
      </w:r>
      <w:r>
        <w:rPr>
          <w:rFonts w:hint="eastAsia"/>
          <w:color w:val="auto"/>
          <w:vertAlign w:val="superscript"/>
        </w:rPr>
        <w:t>3</w:t>
      </w:r>
      <w:r>
        <w:rPr>
          <w:rFonts w:hint="eastAsia"/>
          <w:color w:val="auto"/>
        </w:rPr>
        <w:t>，土方</w:t>
      </w:r>
      <w:r>
        <w:rPr>
          <w:color w:val="auto"/>
        </w:rPr>
        <w:t>29.58</w:t>
      </w:r>
      <w:r>
        <w:rPr>
          <w:rFonts w:hint="eastAsia"/>
          <w:color w:val="auto"/>
        </w:rPr>
        <w:t>万m</w:t>
      </w:r>
      <w:r>
        <w:rPr>
          <w:rFonts w:hint="eastAsia"/>
          <w:color w:val="auto"/>
          <w:vertAlign w:val="superscript"/>
        </w:rPr>
        <w:t>3</w:t>
      </w:r>
      <w:r>
        <w:rPr>
          <w:rFonts w:hint="eastAsia"/>
          <w:color w:val="auto"/>
        </w:rPr>
        <w:t>，表土</w:t>
      </w:r>
      <w:r>
        <w:rPr>
          <w:color w:val="auto"/>
        </w:rPr>
        <w:t>0.61</w:t>
      </w:r>
      <w:r>
        <w:rPr>
          <w:rFonts w:hint="eastAsia"/>
          <w:color w:val="auto"/>
        </w:rPr>
        <w:t>万m</w:t>
      </w:r>
      <w:r>
        <w:rPr>
          <w:rFonts w:hint="eastAsia"/>
          <w:color w:val="auto"/>
          <w:vertAlign w:val="superscript"/>
        </w:rPr>
        <w:t>3</w:t>
      </w:r>
      <w:r>
        <w:rPr>
          <w:rFonts w:hint="eastAsia"/>
          <w:color w:val="auto"/>
        </w:rPr>
        <w:t>，建筑垃圾</w:t>
      </w:r>
      <w:r>
        <w:rPr>
          <w:color w:val="auto"/>
        </w:rPr>
        <w:t>0.72</w:t>
      </w:r>
      <w:r>
        <w:rPr>
          <w:rFonts w:hint="eastAsia"/>
          <w:color w:val="auto"/>
        </w:rPr>
        <w:t>万m</w:t>
      </w:r>
      <w:r>
        <w:rPr>
          <w:rFonts w:hint="eastAsia"/>
          <w:color w:val="auto"/>
          <w:vertAlign w:val="superscript"/>
        </w:rPr>
        <w:t>3</w:t>
      </w:r>
      <w:r>
        <w:rPr>
          <w:rFonts w:hint="eastAsia"/>
          <w:color w:val="auto"/>
        </w:rPr>
        <w:t>），回填土石方量</w:t>
      </w:r>
      <w:r>
        <w:rPr>
          <w:rFonts w:hint="eastAsia"/>
          <w:color w:val="auto"/>
          <w:lang w:val="en-US" w:eastAsia="zh-CN"/>
        </w:rPr>
        <w:t>32.45万</w:t>
      </w:r>
      <w:r>
        <w:rPr>
          <w:rFonts w:hint="eastAsia"/>
          <w:color w:val="auto"/>
        </w:rPr>
        <w:t>m</w:t>
      </w:r>
      <w:r>
        <w:rPr>
          <w:rFonts w:hint="eastAsia"/>
          <w:color w:val="auto"/>
          <w:vertAlign w:val="superscript"/>
        </w:rPr>
        <w:t>3</w:t>
      </w:r>
      <w:r>
        <w:rPr>
          <w:rFonts w:hint="eastAsia"/>
          <w:color w:val="auto"/>
        </w:rPr>
        <w:t>（石方</w:t>
      </w:r>
      <w:r>
        <w:rPr>
          <w:rFonts w:hint="eastAsia"/>
          <w:color w:val="auto"/>
          <w:lang w:val="en-US" w:eastAsia="zh-CN"/>
        </w:rPr>
        <w:t>10</w:t>
      </w:r>
      <w:r>
        <w:rPr>
          <w:color w:val="auto"/>
        </w:rPr>
        <w:t>.</w:t>
      </w:r>
      <w:r>
        <w:rPr>
          <w:rFonts w:hint="eastAsia"/>
          <w:color w:val="auto"/>
          <w:lang w:val="en-US" w:eastAsia="zh-CN"/>
        </w:rPr>
        <w:t>9</w:t>
      </w:r>
      <w:r>
        <w:rPr>
          <w:color w:val="auto"/>
        </w:rPr>
        <w:t>3</w:t>
      </w:r>
      <w:r>
        <w:rPr>
          <w:rFonts w:hint="eastAsia"/>
          <w:color w:val="auto"/>
        </w:rPr>
        <w:t>万m</w:t>
      </w:r>
      <w:r>
        <w:rPr>
          <w:rFonts w:hint="eastAsia"/>
          <w:color w:val="auto"/>
          <w:vertAlign w:val="superscript"/>
        </w:rPr>
        <w:t>3</w:t>
      </w:r>
      <w:r>
        <w:rPr>
          <w:rFonts w:hint="eastAsia"/>
          <w:color w:val="auto"/>
        </w:rPr>
        <w:t>，土方</w:t>
      </w:r>
      <w:r>
        <w:rPr>
          <w:rFonts w:hint="eastAsia"/>
          <w:color w:val="auto"/>
          <w:lang w:val="en-US" w:eastAsia="zh-CN"/>
        </w:rPr>
        <w:t>20</w:t>
      </w:r>
      <w:r>
        <w:rPr>
          <w:color w:val="auto"/>
        </w:rPr>
        <w:t>.91</w:t>
      </w:r>
      <w:r>
        <w:rPr>
          <w:rFonts w:hint="eastAsia"/>
          <w:color w:val="auto"/>
        </w:rPr>
        <w:t>万m</w:t>
      </w:r>
      <w:r>
        <w:rPr>
          <w:rFonts w:hint="eastAsia"/>
          <w:color w:val="auto"/>
          <w:vertAlign w:val="superscript"/>
        </w:rPr>
        <w:t>3</w:t>
      </w:r>
      <w:r>
        <w:rPr>
          <w:rFonts w:hint="eastAsia"/>
          <w:color w:val="auto"/>
        </w:rPr>
        <w:t>，表土</w:t>
      </w:r>
      <w:r>
        <w:rPr>
          <w:color w:val="auto"/>
        </w:rPr>
        <w:t>0.61</w:t>
      </w:r>
      <w:r>
        <w:rPr>
          <w:rFonts w:hint="eastAsia"/>
          <w:color w:val="auto"/>
        </w:rPr>
        <w:t>万m</w:t>
      </w:r>
      <w:r>
        <w:rPr>
          <w:rFonts w:hint="eastAsia"/>
          <w:color w:val="auto"/>
          <w:vertAlign w:val="superscript"/>
        </w:rPr>
        <w:t>3</w:t>
      </w:r>
      <w:r>
        <w:rPr>
          <w:rFonts w:hint="eastAsia"/>
          <w:color w:val="auto"/>
        </w:rPr>
        <w:t>），</w:t>
      </w:r>
      <w:r>
        <w:rPr>
          <w:rFonts w:hint="eastAsia"/>
          <w:color w:val="auto"/>
          <w:lang w:eastAsia="zh-CN"/>
        </w:rPr>
        <w:t>外借</w:t>
      </w:r>
      <w:r>
        <w:rPr>
          <w:rFonts w:hint="eastAsia"/>
          <w:color w:val="auto"/>
          <w:lang w:val="en-US" w:eastAsia="zh-CN"/>
        </w:rPr>
        <w:t>8.90万</w:t>
      </w:r>
      <w:r>
        <w:rPr>
          <w:rFonts w:hint="eastAsia"/>
          <w:color w:val="auto"/>
        </w:rPr>
        <w:t>m</w:t>
      </w:r>
      <w:r>
        <w:rPr>
          <w:rFonts w:hint="eastAsia"/>
          <w:color w:val="auto"/>
          <w:vertAlign w:val="superscript"/>
        </w:rPr>
        <w:t>3</w:t>
      </w:r>
      <w:r>
        <w:rPr>
          <w:rFonts w:hint="eastAsia"/>
          <w:color w:val="auto"/>
          <w:vertAlign w:val="baseline"/>
          <w:lang w:eastAsia="zh-CN"/>
        </w:rPr>
        <w:t>，</w:t>
      </w:r>
      <w:r>
        <w:rPr>
          <w:rFonts w:hint="eastAsia"/>
          <w:color w:val="auto"/>
        </w:rPr>
        <w:t>废弃土石方量</w:t>
      </w:r>
      <w:r>
        <w:rPr>
          <w:rFonts w:hint="eastAsia"/>
          <w:color w:val="auto"/>
          <w:lang w:val="en-US" w:eastAsia="zh-CN"/>
        </w:rPr>
        <w:t>55.30</w:t>
      </w:r>
      <w:r>
        <w:rPr>
          <w:rFonts w:hint="eastAsia"/>
          <w:color w:val="auto"/>
        </w:rPr>
        <w:t>万m</w:t>
      </w:r>
      <w:r>
        <w:rPr>
          <w:rFonts w:hint="eastAsia"/>
          <w:color w:val="auto"/>
          <w:vertAlign w:val="superscript"/>
        </w:rPr>
        <w:t>3</w:t>
      </w:r>
      <w:r>
        <w:rPr>
          <w:rFonts w:hint="eastAsia"/>
          <w:color w:val="auto"/>
        </w:rPr>
        <w:t>（石方</w:t>
      </w:r>
      <w:r>
        <w:rPr>
          <w:color w:val="auto"/>
        </w:rPr>
        <w:t>36.12</w:t>
      </w:r>
      <w:r>
        <w:rPr>
          <w:rFonts w:hint="eastAsia"/>
          <w:color w:val="auto"/>
        </w:rPr>
        <w:t>万m</w:t>
      </w:r>
      <w:r>
        <w:rPr>
          <w:rFonts w:hint="eastAsia"/>
          <w:color w:val="auto"/>
          <w:vertAlign w:val="superscript"/>
        </w:rPr>
        <w:t>3</w:t>
      </w:r>
      <w:r>
        <w:rPr>
          <w:rFonts w:hint="eastAsia"/>
          <w:color w:val="auto"/>
        </w:rPr>
        <w:t>，土方</w:t>
      </w:r>
      <w:r>
        <w:rPr>
          <w:color w:val="auto"/>
        </w:rPr>
        <w:t>12.66</w:t>
      </w:r>
      <w:r>
        <w:rPr>
          <w:rFonts w:hint="eastAsia"/>
          <w:color w:val="auto"/>
        </w:rPr>
        <w:t>万m</w:t>
      </w:r>
      <w:r>
        <w:rPr>
          <w:rFonts w:hint="eastAsia"/>
          <w:color w:val="auto"/>
          <w:vertAlign w:val="superscript"/>
        </w:rPr>
        <w:t>3</w:t>
      </w:r>
      <w:r>
        <w:rPr>
          <w:rFonts w:hint="eastAsia"/>
          <w:color w:val="auto"/>
        </w:rPr>
        <w:t>，建筑垃圾</w:t>
      </w:r>
      <w:r>
        <w:rPr>
          <w:color w:val="auto"/>
        </w:rPr>
        <w:t>0.72</w:t>
      </w:r>
      <w:r>
        <w:rPr>
          <w:rFonts w:hint="eastAsia"/>
          <w:color w:val="auto"/>
        </w:rPr>
        <w:t>万m</w:t>
      </w:r>
      <w:r>
        <w:rPr>
          <w:rFonts w:hint="eastAsia"/>
          <w:color w:val="auto"/>
          <w:vertAlign w:val="superscript"/>
        </w:rPr>
        <w:t>3</w:t>
      </w:r>
      <w:r>
        <w:rPr>
          <w:rFonts w:hint="eastAsia"/>
          <w:color w:val="auto"/>
        </w:rPr>
        <w:t>），废弃方中有取料场区开挖的石方约23万m</w:t>
      </w:r>
      <w:r>
        <w:rPr>
          <w:rFonts w:hint="eastAsia"/>
          <w:color w:val="auto"/>
          <w:vertAlign w:val="superscript"/>
        </w:rPr>
        <w:t>3</w:t>
      </w:r>
      <w:r>
        <w:rPr>
          <w:rFonts w:hint="eastAsia"/>
          <w:color w:val="auto"/>
        </w:rPr>
        <w:t>，用于边坡挡墙、道路边沟及挡渣墙等制作。</w:t>
      </w:r>
    </w:p>
    <w:p>
      <w:pPr>
        <w:pStyle w:val="6"/>
        <w:rPr>
          <w:rFonts w:ascii="Times New Roman" w:hAnsi="Times New Roman" w:eastAsia="仿宋_GB2312" w:cs="Times New Roman"/>
          <w:color w:val="auto"/>
          <w:spacing w:val="0"/>
          <w:sz w:val="24"/>
        </w:rPr>
        <w:sectPr>
          <w:headerReference r:id="rId7" w:type="default"/>
          <w:footerReference r:id="rId8" w:type="default"/>
          <w:pgSz w:w="11906" w:h="16838"/>
          <w:pgMar w:top="1304" w:right="1418" w:bottom="1247" w:left="1701" w:header="851" w:footer="992" w:gutter="0"/>
          <w:pgBorders>
            <w:top w:val="none" w:sz="0" w:space="0"/>
            <w:left w:val="none" w:sz="0" w:space="0"/>
            <w:bottom w:val="none" w:sz="0" w:space="0"/>
            <w:right w:val="none" w:sz="0" w:space="0"/>
          </w:pgBorders>
          <w:pgNumType w:fmt="decimal" w:start="1"/>
          <w:cols w:space="720" w:num="1"/>
          <w:docGrid w:linePitch="326" w:charSpace="0"/>
        </w:sectPr>
      </w:pPr>
    </w:p>
    <w:p>
      <w:pPr>
        <w:pStyle w:val="3"/>
        <w:rPr>
          <w:rFonts w:hint="eastAsia"/>
          <w:color w:val="auto"/>
          <w:lang w:val="en-US" w:eastAsia="zh-CN"/>
        </w:rPr>
      </w:pPr>
      <w:bookmarkStart w:id="16" w:name="_Toc21137"/>
      <w:r>
        <w:rPr>
          <w:rFonts w:hint="eastAsia"/>
          <w:color w:val="auto"/>
          <w:lang w:val="en-US" w:eastAsia="zh-CN"/>
        </w:rPr>
        <w:t>1.2.</w:t>
      </w:r>
      <w:r>
        <w:rPr>
          <w:rFonts w:hint="eastAsia"/>
          <w:color w:val="auto"/>
          <w:lang w:eastAsia="zh-CN"/>
        </w:rPr>
        <w:t>项目区概况</w:t>
      </w:r>
      <w:bookmarkEnd w:id="16"/>
    </w:p>
    <w:p>
      <w:pPr>
        <w:pStyle w:val="4"/>
        <w:rPr>
          <w:color w:val="auto"/>
        </w:rPr>
      </w:pPr>
      <w:r>
        <w:rPr>
          <w:rFonts w:hint="eastAsia"/>
          <w:color w:val="auto"/>
          <w:lang w:val="en-US" w:eastAsia="zh-CN"/>
        </w:rPr>
        <w:t>1.2.1</w:t>
      </w:r>
      <w:r>
        <w:rPr>
          <w:color w:val="auto"/>
        </w:rPr>
        <w:t>气象</w:t>
      </w:r>
    </w:p>
    <w:p>
      <w:pPr>
        <w:rPr>
          <w:rFonts w:ascii="Times New Roman" w:hAnsi="Times New Roman" w:eastAsia="仿宋_GB2312" w:cs="Times New Roman"/>
          <w:color w:val="auto"/>
          <w:spacing w:val="0"/>
        </w:rPr>
      </w:pPr>
      <w:r>
        <w:rPr>
          <w:color w:val="auto"/>
        </w:rPr>
        <w:t>项目区气候类型属于亚热带季风湿润气候。根据普安县气象站30年（1980年-2010年）观测资料，项目区冬无严寒，夏无酷暑，气候宜人。多年平均气温为14.0℃，极端最高气温33.4℃，最低-6.9℃，≥10℃有效积温4452℃，无霜期297天，年平均日照时数1563小时，有短期冰冻现象。多年平均降雨量1257mm，5～10月份为雨季，年均蒸发量875mm，年平均相对湿度78%。项目区一小时平均点雨量为45mm，10年一遇最大一小时降水量为68.85m，20年一遇最大一小时降水量为80.10mm。年平均风速为1.8m/s，风向主要以偏南风为主。主要灾害性天气为冰雹、暴雨、霜冻。</w:t>
      </w:r>
    </w:p>
    <w:p>
      <w:pPr>
        <w:pStyle w:val="4"/>
        <w:rPr>
          <w:color w:val="auto"/>
        </w:rPr>
      </w:pPr>
      <w:r>
        <w:rPr>
          <w:rFonts w:hint="eastAsia"/>
          <w:color w:val="auto"/>
          <w:lang w:val="en-US" w:eastAsia="zh-CN"/>
        </w:rPr>
        <w:t>1.2.2</w:t>
      </w:r>
      <w:r>
        <w:rPr>
          <w:color w:val="auto"/>
        </w:rPr>
        <w:t>水文</w:t>
      </w:r>
    </w:p>
    <w:p>
      <w:pPr>
        <w:bidi w:val="0"/>
        <w:rPr>
          <w:rFonts w:hint="eastAsia"/>
          <w:color w:val="auto"/>
        </w:rPr>
      </w:pPr>
      <w:r>
        <w:rPr>
          <w:rFonts w:hint="eastAsia"/>
          <w:color w:val="auto"/>
        </w:rPr>
        <w:t>1）地表水</w:t>
      </w:r>
    </w:p>
    <w:p>
      <w:pPr>
        <w:bidi w:val="0"/>
        <w:rPr>
          <w:rFonts w:hint="eastAsia"/>
          <w:color w:val="auto"/>
        </w:rPr>
      </w:pPr>
      <w:r>
        <w:rPr>
          <w:rFonts w:hint="eastAsia"/>
          <w:color w:val="auto"/>
        </w:rPr>
        <w:t>项目区水系属珠江流域北盘江水系。沿线主要地表河流为大桥河、罗细河。大桥河，流经盘水街道办，河流流量较小，接受大气降水补给、次级支流及溪沟补给。罗细河，从西至北流经南湖街道办境内的板桥社区、西陇村龙滩组，境内长5km，流域面积4.3km</w:t>
      </w:r>
      <w:r>
        <w:rPr>
          <w:rFonts w:hint="eastAsia"/>
          <w:color w:val="auto"/>
          <w:vertAlign w:val="superscript"/>
        </w:rPr>
        <w:t>2</w:t>
      </w:r>
      <w:r>
        <w:rPr>
          <w:rFonts w:hint="eastAsia"/>
          <w:color w:val="auto"/>
        </w:rPr>
        <w:t>。</w:t>
      </w:r>
    </w:p>
    <w:p>
      <w:pPr>
        <w:bidi w:val="0"/>
        <w:rPr>
          <w:rFonts w:hint="eastAsia"/>
          <w:color w:val="auto"/>
        </w:rPr>
      </w:pPr>
      <w:r>
        <w:rPr>
          <w:rFonts w:hint="eastAsia"/>
          <w:color w:val="auto"/>
        </w:rPr>
        <w:t>其次，项目区内还发育一些大型的水库（K11右侧300m高潮水库）、小型水库、泉点、雨源型溪沟，其动态变化与区内全年降水量分配基本吻合。项目区内山高谷深、水流湍急，河流、溪沟受降雨影响较大，雨季暴涨，旱季暴落，流量悬殊，遇大、暴雨易引发山洪，设计、施工都必须作好充分考虑和准备，以免造成公路的水毁问题。</w:t>
      </w:r>
    </w:p>
    <w:p>
      <w:pPr>
        <w:rPr>
          <w:rFonts w:hint="eastAsia"/>
          <w:color w:val="auto"/>
        </w:rPr>
      </w:pPr>
      <w:r>
        <w:rPr>
          <w:rFonts w:hint="eastAsia"/>
          <w:color w:val="auto"/>
        </w:rPr>
        <w:t>2）地下水</w:t>
      </w:r>
    </w:p>
    <w:p>
      <w:pPr>
        <w:rPr>
          <w:color w:val="auto"/>
        </w:rPr>
      </w:pPr>
      <w:r>
        <w:rPr>
          <w:rFonts w:hint="eastAsia"/>
          <w:color w:val="auto"/>
        </w:rPr>
        <w:t>本项目地下水主要赋存在第四系松散堆积物中的孔隙潜水，如赋存于河谷阶地，河漫滩中的地下水及赋存于坡积物中的地下水；其次的赋存于沿线岩质边坡裂隙中的基岩裂隙水。孔隙潜水相对较发育，埋深较浅，主要受大气降雨补给，向河谷排泄；基岩裂隙水相对不发育，沿线未发现裂隙泉出露，仅有小的裂隙渗水，受大气降雨水补给。</w:t>
      </w:r>
    </w:p>
    <w:p>
      <w:pPr>
        <w:pStyle w:val="4"/>
        <w:rPr>
          <w:color w:val="auto"/>
        </w:rPr>
      </w:pPr>
      <w:r>
        <w:rPr>
          <w:rFonts w:hint="eastAsia"/>
          <w:color w:val="auto"/>
          <w:lang w:val="en-US" w:eastAsia="zh-CN"/>
        </w:rPr>
        <w:t>1.2.3</w:t>
      </w:r>
      <w:r>
        <w:rPr>
          <w:color w:val="auto"/>
        </w:rPr>
        <w:t>土壤</w:t>
      </w:r>
    </w:p>
    <w:p>
      <w:pPr>
        <w:rPr>
          <w:color w:val="auto"/>
        </w:rPr>
      </w:pPr>
      <w:r>
        <w:rPr>
          <w:color w:val="auto"/>
        </w:rPr>
        <w:t>根据现场调查，项目区土壤主要为黄壤。黄壤属湿润、干湿季不明显生物气候条件下发育而成的土壤，土壤中富含氧化铁、氧化铝，很容易发生水化作用，质地粘重，土壤厚度0.5～1.5m，土壤肥力Ⅱ级，土壤分散性高，团聚力弱，胶体数量少，腐殖质含量低，土壤抗蚀性较小，全剖面呈弱酸性，pH为6.0左右。</w:t>
      </w:r>
    </w:p>
    <w:p>
      <w:pPr>
        <w:pStyle w:val="4"/>
        <w:rPr>
          <w:color w:val="auto"/>
        </w:rPr>
      </w:pPr>
      <w:r>
        <w:rPr>
          <w:rFonts w:hint="eastAsia"/>
          <w:color w:val="auto"/>
          <w:lang w:val="en-US" w:eastAsia="zh-CN"/>
        </w:rPr>
        <w:t>1.2.4</w:t>
      </w:r>
      <w:r>
        <w:rPr>
          <w:color w:val="auto"/>
        </w:rPr>
        <w:t>植被</w:t>
      </w:r>
    </w:p>
    <w:p>
      <w:pPr>
        <w:rPr>
          <w:rFonts w:ascii="Times New Roman" w:hAnsi="Times New Roman" w:eastAsia="仿宋_GB2312" w:cs="Times New Roman"/>
          <w:color w:val="auto"/>
          <w:spacing w:val="0"/>
          <w:szCs w:val="28"/>
        </w:rPr>
      </w:pPr>
      <w:bookmarkStart w:id="17" w:name="_Toc214678002"/>
      <w:bookmarkStart w:id="18" w:name="_Toc242000000"/>
      <w:r>
        <w:rPr>
          <w:color w:val="auto"/>
          <w:lang w:eastAsia="zh-CN"/>
        </w:rPr>
        <w:t>项目区植被类型属于亚热带常绿阔叶林，原生植被多被破坏，由次生植被所代替，种类繁多。项目区主要分布有杉树、松树、女贞树、壳斗科、女贞、喜树等，人工栽植的树种主要有李、桃、杨梅、梨等树木。项目区（普安县）林草覆盖率为</w:t>
      </w:r>
      <w:r>
        <w:rPr>
          <w:rFonts w:hint="eastAsia"/>
          <w:color w:val="auto"/>
          <w:lang w:eastAsia="zh-CN"/>
        </w:rPr>
        <w:t>51.12</w:t>
      </w:r>
      <w:r>
        <w:rPr>
          <w:color w:val="auto"/>
          <w:lang w:eastAsia="zh-CN"/>
        </w:rPr>
        <w:t>%。</w:t>
      </w:r>
    </w:p>
    <w:bookmarkEnd w:id="17"/>
    <w:bookmarkEnd w:id="18"/>
    <w:p>
      <w:pPr>
        <w:pStyle w:val="4"/>
        <w:rPr>
          <w:color w:val="auto"/>
        </w:rPr>
      </w:pPr>
      <w:r>
        <w:rPr>
          <w:rFonts w:hint="eastAsia"/>
          <w:color w:val="auto"/>
          <w:lang w:val="en-US" w:eastAsia="zh-CN"/>
        </w:rPr>
        <w:t>1.2.5</w:t>
      </w:r>
      <w:r>
        <w:rPr>
          <w:color w:val="auto"/>
        </w:rPr>
        <w:t>侵蚀类型</w:t>
      </w:r>
      <w:r>
        <w:rPr>
          <w:rFonts w:hint="eastAsia"/>
          <w:color w:val="auto"/>
          <w:lang w:eastAsia="zh-CN"/>
        </w:rPr>
        <w:t>及</w:t>
      </w:r>
      <w:r>
        <w:rPr>
          <w:color w:val="auto"/>
        </w:rPr>
        <w:t>容许土壤流失量</w:t>
      </w:r>
    </w:p>
    <w:p>
      <w:pPr>
        <w:adjustRightInd w:val="0"/>
        <w:spacing w:line="360" w:lineRule="auto"/>
        <w:ind w:firstLine="560"/>
        <w:rPr>
          <w:rFonts w:ascii="Times New Roman" w:hAnsi="Times New Roman" w:eastAsia="仿宋_GB2312" w:cs="Times New Roman"/>
          <w:color w:val="auto"/>
          <w:spacing w:val="0"/>
          <w:sz w:val="24"/>
          <w:szCs w:val="24"/>
        </w:rPr>
      </w:pPr>
      <w:r>
        <w:rPr>
          <w:rFonts w:ascii="Times New Roman" w:hAnsi="Times New Roman" w:eastAsia="仿宋_GB2312" w:cs="Times New Roman"/>
          <w:color w:val="auto"/>
          <w:spacing w:val="0"/>
          <w:sz w:val="24"/>
          <w:szCs w:val="24"/>
        </w:rPr>
        <w:t>因本项区水土流失类型以水力侵蚀为主，水土流失侵蚀方式为面蚀，属轻度流失区，项目区容许土壤侵蚀模数500t/(km</w:t>
      </w:r>
      <w:r>
        <w:rPr>
          <w:rFonts w:ascii="Times New Roman" w:hAnsi="Times New Roman" w:eastAsia="仿宋_GB2312" w:cs="Times New Roman"/>
          <w:color w:val="auto"/>
          <w:spacing w:val="0"/>
          <w:sz w:val="24"/>
          <w:szCs w:val="24"/>
          <w:vertAlign w:val="superscript"/>
        </w:rPr>
        <w:t>2</w:t>
      </w:r>
      <w:r>
        <w:rPr>
          <w:rFonts w:ascii="Times New Roman" w:hAnsi="Times New Roman" w:eastAsia="仿宋_GB2312" w:cs="Times New Roman"/>
          <w:color w:val="auto"/>
          <w:spacing w:val="0"/>
          <w:sz w:val="24"/>
          <w:szCs w:val="24"/>
        </w:rPr>
        <w:t>.a)。</w:t>
      </w:r>
    </w:p>
    <w:p>
      <w:pPr>
        <w:pStyle w:val="4"/>
        <w:rPr>
          <w:color w:val="auto"/>
        </w:rPr>
      </w:pPr>
      <w:r>
        <w:rPr>
          <w:rFonts w:hint="eastAsia"/>
          <w:color w:val="auto"/>
          <w:lang w:val="en-US" w:eastAsia="zh-CN"/>
        </w:rPr>
        <w:t>1.2.6</w:t>
      </w:r>
      <w:r>
        <w:rPr>
          <w:color w:val="auto"/>
        </w:rPr>
        <w:t>国家（省级）防治区划。</w:t>
      </w:r>
    </w:p>
    <w:p>
      <w:pPr>
        <w:rPr>
          <w:rFonts w:hint="default"/>
          <w:color w:val="auto"/>
        </w:rPr>
      </w:pPr>
      <w:r>
        <w:rPr>
          <w:rFonts w:hint="default"/>
          <w:color w:val="auto"/>
        </w:rPr>
        <w:t>根据水利部《关于印发全国水土保持规划国家级水土流失重点预防区和重点治理区复核划分成果的通知》（办水保〔2013〕188号），项目所涉及的普安县属于滇黔桂岩溶石漠化国家级水土流失重点治理区；根据《贵州省水利厅关于印发贵州省水土流失重点预防区和重点治理区划分成果的通知》（黔水保〔2015〕82号），项目涉及的盘水街道办事处属于普安晴隆中低山省级水土流失重点预防区，项目涉及的南湖街道办事处属于黔西南岩溶石漠化国家级水土流失重点治理区。</w:t>
      </w:r>
    </w:p>
    <w:bookmarkEnd w:id="13"/>
    <w:bookmarkEnd w:id="14"/>
    <w:bookmarkEnd w:id="15"/>
    <w:p>
      <w:pPr>
        <w:pStyle w:val="3"/>
        <w:rPr>
          <w:rFonts w:hint="default"/>
          <w:color w:val="auto"/>
        </w:rPr>
      </w:pPr>
      <w:bookmarkStart w:id="19" w:name="_Toc371174595"/>
      <w:bookmarkStart w:id="20" w:name="_Toc400530764"/>
      <w:bookmarkStart w:id="21" w:name="_Toc400529663"/>
      <w:bookmarkStart w:id="22" w:name="_Toc21803"/>
      <w:r>
        <w:rPr>
          <w:rFonts w:hint="default"/>
          <w:color w:val="auto"/>
        </w:rPr>
        <w:t>1.</w:t>
      </w:r>
      <w:r>
        <w:rPr>
          <w:rFonts w:hint="eastAsia"/>
          <w:color w:val="auto"/>
          <w:lang w:val="en-US" w:eastAsia="zh-CN"/>
        </w:rPr>
        <w:t>3</w:t>
      </w:r>
      <w:r>
        <w:rPr>
          <w:rFonts w:hint="default"/>
          <w:color w:val="auto"/>
        </w:rPr>
        <w:t>水土流失防治工作情况</w:t>
      </w:r>
      <w:bookmarkEnd w:id="19"/>
      <w:bookmarkEnd w:id="20"/>
      <w:bookmarkEnd w:id="21"/>
      <w:bookmarkEnd w:id="22"/>
    </w:p>
    <w:p>
      <w:pPr>
        <w:pStyle w:val="4"/>
        <w:rPr>
          <w:rFonts w:hint="default"/>
          <w:color w:val="auto"/>
        </w:rPr>
      </w:pPr>
      <w:bookmarkStart w:id="23" w:name="_Toc371174596"/>
      <w:bookmarkStart w:id="24" w:name="_Toc400530765"/>
      <w:bookmarkStart w:id="25" w:name="_Toc400529664"/>
      <w:r>
        <w:rPr>
          <w:rFonts w:hint="default"/>
          <w:color w:val="auto"/>
        </w:rPr>
        <w:t>1.</w:t>
      </w:r>
      <w:r>
        <w:rPr>
          <w:rFonts w:hint="eastAsia"/>
          <w:color w:val="auto"/>
          <w:lang w:val="en-US" w:eastAsia="zh-CN"/>
        </w:rPr>
        <w:t>3</w:t>
      </w:r>
      <w:r>
        <w:rPr>
          <w:rFonts w:hint="default"/>
          <w:color w:val="auto"/>
        </w:rPr>
        <w:t>.1水土保持方案编报情况</w:t>
      </w:r>
      <w:bookmarkEnd w:id="23"/>
      <w:bookmarkEnd w:id="24"/>
      <w:bookmarkEnd w:id="25"/>
    </w:p>
    <w:p>
      <w:pPr>
        <w:bidi w:val="0"/>
        <w:rPr>
          <w:rFonts w:hint="eastAsia"/>
          <w:color w:val="auto"/>
          <w:lang w:eastAsia="zh-CN"/>
        </w:rPr>
      </w:pPr>
      <w:bookmarkStart w:id="26" w:name="_Toc400530766"/>
      <w:bookmarkStart w:id="27" w:name="_Toc400529665"/>
      <w:bookmarkStart w:id="28" w:name="_Toc371174597"/>
      <w:r>
        <w:rPr>
          <w:rFonts w:hint="eastAsia"/>
          <w:color w:val="auto"/>
          <w:lang w:eastAsia="zh-CN"/>
        </w:rPr>
        <w:t>项目业主于2017年9月委托</w:t>
      </w:r>
      <w:r>
        <w:rPr>
          <w:rFonts w:hint="eastAsia"/>
          <w:color w:val="auto"/>
          <w:lang w:val="en-US" w:eastAsia="zh-CN"/>
        </w:rPr>
        <w:t>贵州天保生态股份有限公司</w:t>
      </w:r>
      <w:r>
        <w:rPr>
          <w:rFonts w:hint="eastAsia"/>
          <w:color w:val="auto"/>
          <w:lang w:eastAsia="zh-CN"/>
        </w:rPr>
        <w:t>对《G320线普安江西坡至三板桥段改扩建工程水土保持方案报告书》进行编制工作，为此，</w:t>
      </w:r>
      <w:r>
        <w:rPr>
          <w:rFonts w:hint="eastAsia"/>
          <w:color w:val="auto"/>
          <w:lang w:val="en-US" w:eastAsia="zh-CN"/>
        </w:rPr>
        <w:t>贵州天保生态股份有限公司</w:t>
      </w:r>
      <w:r>
        <w:rPr>
          <w:rFonts w:hint="eastAsia"/>
          <w:color w:val="auto"/>
          <w:lang w:eastAsia="zh-CN"/>
        </w:rPr>
        <w:t>组织相关的工作人员在现场踏勘的基础上，及相关部门的大力协同下，按照《开发建设项目水土保持技术规范》的有关要求，编制完成了《G320线普安江西坡至三板桥段改扩建工程水土保持方案报告书》（送审稿），于2018年4月8日通过黔西南州水务局组织的专家审查，根据专家审查意见，修改完成了《G320线普安江西坡至三板桥段改扩建工程水土保持方案报告书》（报批稿），以下简称《方案》。</w:t>
      </w:r>
      <w:r>
        <w:rPr>
          <w:rFonts w:hint="eastAsia"/>
          <w:color w:val="auto"/>
          <w:lang w:val="en-US" w:eastAsia="zh-CN"/>
        </w:rPr>
        <w:t>2018年</w:t>
      </w:r>
      <w:r>
        <w:rPr>
          <w:rFonts w:hint="eastAsia"/>
          <w:color w:val="auto"/>
          <w:highlight w:val="none"/>
          <w:lang w:val="en-US" w:eastAsia="zh-CN"/>
        </w:rPr>
        <w:t>6</w:t>
      </w:r>
      <w:r>
        <w:rPr>
          <w:rFonts w:hint="eastAsia"/>
          <w:color w:val="auto"/>
          <w:highlight w:val="none"/>
          <w:lang w:eastAsia="zh-CN"/>
        </w:rPr>
        <w:t>月</w:t>
      </w:r>
      <w:r>
        <w:rPr>
          <w:rFonts w:hint="eastAsia"/>
          <w:color w:val="auto"/>
          <w:highlight w:val="none"/>
          <w:lang w:val="en-US" w:eastAsia="zh-CN"/>
        </w:rPr>
        <w:t>4</w:t>
      </w:r>
      <w:r>
        <w:rPr>
          <w:rFonts w:hint="eastAsia"/>
          <w:color w:val="auto"/>
          <w:highlight w:val="none"/>
          <w:lang w:eastAsia="zh-CN"/>
        </w:rPr>
        <w:t>日获得</w:t>
      </w:r>
      <w:r>
        <w:rPr>
          <w:rFonts w:hint="eastAsia"/>
          <w:color w:val="auto"/>
          <w:highlight w:val="none"/>
          <w:lang w:val="en-US" w:eastAsia="zh-CN"/>
        </w:rPr>
        <w:t>黔西南州水务局</w:t>
      </w:r>
      <w:r>
        <w:rPr>
          <w:rFonts w:hint="eastAsia"/>
          <w:color w:val="auto"/>
          <w:highlight w:val="none"/>
          <w:lang w:eastAsia="zh-CN"/>
        </w:rPr>
        <w:t>下发的批复《关于G320线普安江西坡至三板桥段改扩建工程水土保持方案的复函》(</w:t>
      </w:r>
      <w:r>
        <w:rPr>
          <w:rFonts w:hint="eastAsia"/>
          <w:color w:val="auto"/>
          <w:highlight w:val="none"/>
          <w:lang w:val="en-US" w:eastAsia="zh-CN"/>
        </w:rPr>
        <w:t>州水务</w:t>
      </w:r>
      <w:r>
        <w:rPr>
          <w:rFonts w:hint="eastAsia"/>
          <w:color w:val="auto"/>
          <w:highlight w:val="none"/>
          <w:lang w:eastAsia="zh-CN"/>
        </w:rPr>
        <w:t>函〔201</w:t>
      </w:r>
      <w:r>
        <w:rPr>
          <w:rFonts w:hint="eastAsia"/>
          <w:color w:val="auto"/>
          <w:highlight w:val="none"/>
          <w:lang w:val="en-US" w:eastAsia="zh-CN"/>
        </w:rPr>
        <w:t>8</w:t>
      </w:r>
      <w:r>
        <w:rPr>
          <w:rFonts w:hint="eastAsia"/>
          <w:color w:val="auto"/>
          <w:highlight w:val="none"/>
          <w:lang w:eastAsia="zh-CN"/>
        </w:rPr>
        <w:t>〕</w:t>
      </w:r>
      <w:r>
        <w:rPr>
          <w:rFonts w:hint="eastAsia"/>
          <w:color w:val="auto"/>
          <w:highlight w:val="none"/>
          <w:lang w:val="en-US" w:eastAsia="zh-CN"/>
        </w:rPr>
        <w:t>28</w:t>
      </w:r>
      <w:r>
        <w:rPr>
          <w:rFonts w:hint="eastAsia"/>
          <w:color w:val="auto"/>
          <w:highlight w:val="none"/>
          <w:lang w:eastAsia="zh-CN"/>
        </w:rPr>
        <w:t>号文)。</w:t>
      </w:r>
    </w:p>
    <w:p>
      <w:pPr>
        <w:pStyle w:val="4"/>
        <w:bidi w:val="0"/>
        <w:rPr>
          <w:rFonts w:hint="default"/>
          <w:color w:val="auto"/>
        </w:rPr>
      </w:pPr>
      <w:r>
        <w:rPr>
          <w:rFonts w:hint="default"/>
          <w:color w:val="auto"/>
        </w:rPr>
        <w:t>1.</w:t>
      </w:r>
      <w:r>
        <w:rPr>
          <w:rFonts w:hint="eastAsia"/>
          <w:color w:val="auto"/>
          <w:lang w:val="en-US" w:eastAsia="zh-CN"/>
        </w:rPr>
        <w:t>3</w:t>
      </w:r>
      <w:r>
        <w:rPr>
          <w:rFonts w:hint="default"/>
          <w:color w:val="auto"/>
        </w:rPr>
        <w:t>.2水土保持工作组织开展情况</w:t>
      </w:r>
      <w:bookmarkEnd w:id="26"/>
      <w:bookmarkEnd w:id="27"/>
      <w:bookmarkEnd w:id="28"/>
    </w:p>
    <w:p>
      <w:pPr>
        <w:keepNext w:val="0"/>
        <w:keepLines w:val="0"/>
        <w:widowControl/>
        <w:suppressLineNumbers w:val="0"/>
        <w:jc w:val="left"/>
        <w:rPr>
          <w:rFonts w:hint="default" w:ascii="Times New Roman" w:hAnsi="Times New Roman" w:eastAsia="仿宋_GB2312" w:cs="Times New Roman"/>
          <w:color w:val="auto"/>
          <w:spacing w:val="0"/>
          <w:sz w:val="24"/>
          <w:szCs w:val="28"/>
        </w:rPr>
      </w:pPr>
      <w:r>
        <w:rPr>
          <w:rFonts w:hint="default" w:ascii="Times New Roman" w:hAnsi="Times New Roman" w:eastAsia="仿宋_GB2312" w:cs="Times New Roman"/>
          <w:color w:val="auto"/>
          <w:spacing w:val="0"/>
          <w:sz w:val="24"/>
        </w:rPr>
        <w:t>建设单位在工程建设过程中高度重视水土保持工作，指定工程部全面负责落实工程建设过程中的水土保持工作，工程部详细地安排各单位工程的施工顺序，为项目建设的各单位开工做好准备，并为其连续快速施工做好周密安排。</w:t>
      </w:r>
    </w:p>
    <w:p>
      <w:pPr>
        <w:pStyle w:val="4"/>
        <w:rPr>
          <w:rFonts w:hint="default" w:ascii="Times New Roman" w:hAnsi="Times New Roman" w:eastAsia="仿宋_GB2312" w:cs="Times New Roman"/>
          <w:color w:val="auto"/>
          <w:spacing w:val="0"/>
          <w:sz w:val="24"/>
          <w:szCs w:val="28"/>
        </w:rPr>
      </w:pPr>
      <w:bookmarkStart w:id="29" w:name="_Toc400530767"/>
      <w:bookmarkStart w:id="30" w:name="_Toc400529666"/>
      <w:bookmarkStart w:id="31" w:name="_Toc371174598"/>
      <w:r>
        <w:rPr>
          <w:rFonts w:hint="default"/>
          <w:color w:val="auto"/>
        </w:rPr>
        <w:t>1.</w:t>
      </w:r>
      <w:r>
        <w:rPr>
          <w:rFonts w:hint="eastAsia"/>
          <w:color w:val="auto"/>
          <w:lang w:val="en-US" w:eastAsia="zh-CN"/>
        </w:rPr>
        <w:t>3</w:t>
      </w:r>
      <w:r>
        <w:rPr>
          <w:rFonts w:hint="default"/>
          <w:color w:val="auto"/>
        </w:rPr>
        <w:t>.3水土保持工程实施概况</w:t>
      </w:r>
      <w:bookmarkEnd w:id="29"/>
      <w:bookmarkEnd w:id="30"/>
      <w:bookmarkEnd w:id="31"/>
    </w:p>
    <w:p>
      <w:pPr>
        <w:spacing w:after="156"/>
        <w:ind w:firstLine="480"/>
        <w:rPr>
          <w:color w:val="auto"/>
          <w:lang w:eastAsia="zh-CN"/>
        </w:rPr>
      </w:pPr>
      <w:bookmarkStart w:id="32" w:name="_Toc400530768"/>
      <w:bookmarkStart w:id="33" w:name="_Toc371174599"/>
      <w:bookmarkStart w:id="34" w:name="_Toc400529667"/>
      <w:r>
        <w:rPr>
          <w:rFonts w:hint="eastAsia"/>
          <w:color w:val="auto"/>
          <w:lang w:eastAsia="zh-CN"/>
        </w:rPr>
        <w:t>截止20</w:t>
      </w:r>
      <w:r>
        <w:rPr>
          <w:rFonts w:hint="eastAsia"/>
          <w:color w:val="auto"/>
          <w:lang w:val="en-US" w:eastAsia="zh-CN"/>
        </w:rPr>
        <w:t>20</w:t>
      </w:r>
      <w:r>
        <w:rPr>
          <w:rFonts w:hint="eastAsia"/>
          <w:color w:val="auto"/>
          <w:lang w:eastAsia="zh-CN"/>
        </w:rPr>
        <w:t>年</w:t>
      </w:r>
      <w:r>
        <w:rPr>
          <w:rFonts w:hint="eastAsia"/>
          <w:color w:val="auto"/>
          <w:lang w:val="en-US" w:eastAsia="zh-CN"/>
        </w:rPr>
        <w:t>10</w:t>
      </w:r>
      <w:r>
        <w:rPr>
          <w:rFonts w:hint="eastAsia"/>
          <w:color w:val="auto"/>
          <w:lang w:eastAsia="zh-CN"/>
        </w:rPr>
        <w:t>月，项目区实施的水土保持措施如下：</w:t>
      </w:r>
    </w:p>
    <w:p>
      <w:pPr>
        <w:rPr>
          <w:rFonts w:hint="eastAsia"/>
          <w:color w:val="auto"/>
          <w:lang w:val="en-US" w:eastAsia="zh-CN"/>
        </w:rPr>
      </w:pPr>
      <w:r>
        <w:rPr>
          <w:rFonts w:hint="eastAsia"/>
          <w:color w:val="auto"/>
          <w:lang w:eastAsia="zh-CN"/>
        </w:rPr>
        <w:t>工程措施：主体已实施共计道路边沟41330m，桥梁排水管36m，挡渣墙442m，截水沟35m，综合护坡</w:t>
      </w:r>
      <w:r>
        <w:rPr>
          <w:rFonts w:hint="eastAsia"/>
          <w:color w:val="auto"/>
          <w:lang w:val="en-US" w:eastAsia="zh-CN"/>
        </w:rPr>
        <w:t>21117m</w:t>
      </w:r>
      <w:r>
        <w:rPr>
          <w:rFonts w:hint="eastAsia"/>
          <w:color w:val="auto"/>
          <w:vertAlign w:val="superscript"/>
          <w:lang w:val="en-US" w:eastAsia="zh-CN"/>
        </w:rPr>
        <w:t>2</w:t>
      </w:r>
      <w:r>
        <w:rPr>
          <w:rFonts w:hint="eastAsia"/>
          <w:color w:val="auto"/>
          <w:lang w:val="en-US" w:eastAsia="zh-CN"/>
        </w:rPr>
        <w:t>，覆土整治2.17hm</w:t>
      </w:r>
      <w:r>
        <w:rPr>
          <w:rFonts w:hint="eastAsia"/>
          <w:color w:val="auto"/>
          <w:vertAlign w:val="superscript"/>
          <w:lang w:val="en-US" w:eastAsia="zh-CN"/>
        </w:rPr>
        <w:t>2</w:t>
      </w:r>
      <w:r>
        <w:rPr>
          <w:rFonts w:hint="eastAsia"/>
          <w:color w:val="auto"/>
          <w:lang w:val="en-US" w:eastAsia="zh-CN"/>
        </w:rPr>
        <w:t>，植物攀爬网9381m</w:t>
      </w:r>
      <w:r>
        <w:rPr>
          <w:rFonts w:hint="eastAsia"/>
          <w:color w:val="auto"/>
          <w:vertAlign w:val="superscript"/>
          <w:lang w:val="en-US" w:eastAsia="zh-CN"/>
        </w:rPr>
        <w:t>2</w:t>
      </w:r>
      <w:r>
        <w:rPr>
          <w:rFonts w:hint="eastAsia"/>
          <w:color w:val="auto"/>
          <w:lang w:val="en-US" w:eastAsia="zh-CN"/>
        </w:rPr>
        <w:t>。</w:t>
      </w:r>
    </w:p>
    <w:p>
      <w:pPr>
        <w:rPr>
          <w:rFonts w:hint="eastAsia"/>
          <w:color w:val="auto"/>
          <w:lang w:val="en-US" w:eastAsia="zh-CN"/>
        </w:rPr>
      </w:pPr>
      <w:r>
        <w:rPr>
          <w:rFonts w:hint="eastAsia"/>
          <w:color w:val="auto"/>
          <w:lang w:val="en-US" w:eastAsia="zh-CN"/>
        </w:rPr>
        <w:t>植物措施：混播植草3.36hm</w:t>
      </w:r>
      <w:r>
        <w:rPr>
          <w:rFonts w:hint="eastAsia"/>
          <w:color w:val="auto"/>
          <w:vertAlign w:val="superscript"/>
          <w:lang w:val="en-US" w:eastAsia="zh-CN"/>
        </w:rPr>
        <w:t>2</w:t>
      </w:r>
      <w:r>
        <w:rPr>
          <w:rFonts w:hint="eastAsia"/>
          <w:color w:val="auto"/>
          <w:lang w:val="en-US" w:eastAsia="zh-CN"/>
        </w:rPr>
        <w:t>，植草护坡3.65hm</w:t>
      </w:r>
      <w:r>
        <w:rPr>
          <w:rFonts w:hint="eastAsia"/>
          <w:color w:val="auto"/>
          <w:vertAlign w:val="superscript"/>
          <w:lang w:val="en-US" w:eastAsia="zh-CN"/>
        </w:rPr>
        <w:t>2</w:t>
      </w:r>
      <w:r>
        <w:rPr>
          <w:rFonts w:hint="eastAsia"/>
          <w:color w:val="auto"/>
          <w:lang w:val="en-US" w:eastAsia="zh-CN"/>
        </w:rPr>
        <w:t>，种行道树13908株，种植油麻藤235株，播撒草种3.55hm</w:t>
      </w:r>
      <w:r>
        <w:rPr>
          <w:rFonts w:hint="eastAsia"/>
          <w:color w:val="auto"/>
          <w:vertAlign w:val="superscript"/>
          <w:lang w:val="en-US" w:eastAsia="zh-CN"/>
        </w:rPr>
        <w:t>2</w:t>
      </w:r>
      <w:r>
        <w:rPr>
          <w:rFonts w:hint="eastAsia"/>
          <w:color w:val="auto"/>
          <w:lang w:val="en-US" w:eastAsia="zh-CN"/>
        </w:rPr>
        <w:t>。</w:t>
      </w:r>
    </w:p>
    <w:p>
      <w:pPr>
        <w:spacing w:line="360" w:lineRule="auto"/>
        <w:ind w:firstLine="480"/>
        <w:contextualSpacing/>
        <w:rPr>
          <w:rFonts w:hint="eastAsia"/>
          <w:color w:val="auto"/>
          <w:sz w:val="24"/>
          <w:szCs w:val="24"/>
          <w:lang w:val="en-US" w:eastAsia="zh-CN"/>
        </w:rPr>
      </w:pPr>
      <w:r>
        <w:rPr>
          <w:rFonts w:hint="default" w:ascii="Times New Roman" w:hAnsi="Times New Roman" w:eastAsia="仿宋_GB2312" w:cs="Times New Roman"/>
          <w:color w:val="auto"/>
          <w:spacing w:val="0"/>
          <w:sz w:val="24"/>
        </w:rPr>
        <w:t>监测结果显示，</w:t>
      </w:r>
      <w:r>
        <w:rPr>
          <w:rFonts w:hint="eastAsia"/>
          <w:color w:val="auto"/>
          <w:lang w:eastAsia="zh-CN"/>
        </w:rPr>
        <w:t>建设单位在建设过程中，各防治分区均采取了适宜的水土保持工程措施或植物措施，水土保持措施的总体布局较为合理，防治效果比较明显，有效地减少了项目建设过程中造成的水土流失，基本达到了《G320线普安江西坡至三板桥段改扩建工程水土保持方案报告书（报批稿）》的防治目标。</w:t>
      </w:r>
    </w:p>
    <w:p>
      <w:pPr>
        <w:pStyle w:val="3"/>
        <w:rPr>
          <w:rFonts w:hint="default"/>
          <w:color w:val="auto"/>
        </w:rPr>
      </w:pPr>
      <w:bookmarkStart w:id="35" w:name="_Toc5727"/>
      <w:r>
        <w:rPr>
          <w:rFonts w:hint="default"/>
          <w:color w:val="auto"/>
        </w:rPr>
        <w:t>1.</w:t>
      </w:r>
      <w:r>
        <w:rPr>
          <w:rFonts w:hint="eastAsia"/>
          <w:color w:val="auto"/>
          <w:lang w:val="en-US" w:eastAsia="zh-CN"/>
        </w:rPr>
        <w:t>4</w:t>
      </w:r>
      <w:r>
        <w:rPr>
          <w:rFonts w:hint="default"/>
          <w:color w:val="auto"/>
        </w:rPr>
        <w:t>监测工作实施概况</w:t>
      </w:r>
      <w:bookmarkEnd w:id="35"/>
    </w:p>
    <w:bookmarkEnd w:id="32"/>
    <w:bookmarkEnd w:id="33"/>
    <w:bookmarkEnd w:id="34"/>
    <w:p>
      <w:pPr>
        <w:pStyle w:val="4"/>
        <w:rPr>
          <w:rFonts w:hint="default"/>
          <w:color w:val="auto"/>
        </w:rPr>
      </w:pPr>
      <w:bookmarkStart w:id="36" w:name="_Toc400529668"/>
      <w:bookmarkStart w:id="37" w:name="_Toc400530769"/>
      <w:bookmarkStart w:id="38" w:name="_Toc371174600"/>
      <w:r>
        <w:rPr>
          <w:rFonts w:hint="default"/>
          <w:color w:val="auto"/>
        </w:rPr>
        <w:t>1.</w:t>
      </w:r>
      <w:r>
        <w:rPr>
          <w:rFonts w:hint="eastAsia"/>
          <w:color w:val="auto"/>
          <w:lang w:val="en-US" w:eastAsia="zh-CN"/>
        </w:rPr>
        <w:t>4</w:t>
      </w:r>
      <w:r>
        <w:rPr>
          <w:rFonts w:hint="default"/>
          <w:color w:val="auto"/>
        </w:rPr>
        <w:t>.1监测目的</w:t>
      </w:r>
      <w:bookmarkEnd w:id="36"/>
      <w:bookmarkEnd w:id="37"/>
      <w:bookmarkEnd w:id="38"/>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（1）施工建设过程中的水土流失进行适时监测和监控。了解项目建设中水土保持方案实施情况，掌握水土流失发生的时段、强度等情况，及时采取相应的防控措施。</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（2）为项目的水土流失预测和制定防治方案提供依据。积累水土流失预测的实测资料和数据，为确定预测参数、预测模型等服务。</w:t>
      </w:r>
    </w:p>
    <w:p>
      <w:pPr>
        <w:rPr>
          <w:rFonts w:hint="default" w:ascii="Times New Roman" w:hAnsi="Times New Roman" w:eastAsia="仿宋_GB2312" w:cs="Times New Roman"/>
          <w:color w:val="auto"/>
          <w:spacing w:val="0"/>
          <w:sz w:val="24"/>
          <w:szCs w:val="28"/>
        </w:rPr>
      </w:pPr>
      <w:r>
        <w:rPr>
          <w:rFonts w:hint="default" w:ascii="Times New Roman" w:hAnsi="Times New Roman" w:eastAsia="仿宋_GB2312" w:cs="Times New Roman"/>
          <w:color w:val="auto"/>
          <w:spacing w:val="0"/>
          <w:sz w:val="24"/>
        </w:rPr>
        <w:t>（3）为项目的水土保持专项验收提供依据。通过对项目建设全过程的监测说明施工、建设、生产运行中防治水土流失效果。</w:t>
      </w:r>
    </w:p>
    <w:p>
      <w:pPr>
        <w:pStyle w:val="4"/>
        <w:rPr>
          <w:rFonts w:hint="default"/>
          <w:color w:val="auto"/>
        </w:rPr>
      </w:pPr>
      <w:bookmarkStart w:id="39" w:name="_Toc400529669"/>
      <w:bookmarkStart w:id="40" w:name="_Toc371174601"/>
      <w:bookmarkStart w:id="41" w:name="_Toc400530770"/>
      <w:r>
        <w:rPr>
          <w:rFonts w:hint="default"/>
          <w:color w:val="auto"/>
        </w:rPr>
        <w:t>1.</w:t>
      </w:r>
      <w:r>
        <w:rPr>
          <w:rFonts w:hint="eastAsia"/>
          <w:color w:val="auto"/>
          <w:lang w:val="en-US" w:eastAsia="zh-CN"/>
        </w:rPr>
        <w:t>4</w:t>
      </w:r>
      <w:r>
        <w:rPr>
          <w:rFonts w:hint="default"/>
          <w:color w:val="auto"/>
        </w:rPr>
        <w:t>.2监测原则</w:t>
      </w:r>
      <w:bookmarkEnd w:id="39"/>
      <w:bookmarkEnd w:id="40"/>
      <w:bookmarkEnd w:id="41"/>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1）全面调查与重点观测相结合。全面调查即对本项目水土流失防治责任范围进行核实，并对水土流失及其防治状况进行全面调查。在全面调查的基础上，确定水土流失及其防治效果监测的重点区域，并确定相应的观测方法。</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2）定期调查和动态观测相结合。对水土流失防治分区、地形地貌、地面组成物质、植被种类、覆盖度等变化随主体工程总体布局与施工进度变化而变化，需通过定期调查获取。对土壤侵蚀形式、降水量、径流量、泥沙量、工程实施进展与防治效果等因子，根据项目不同阶段地面变化情况，采用不同的观测方式进行动态观测。</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3）调查、观测与巡查相结合。随着工程施工进度变化，场地水土流失存在的问题和隐患也在不断的变化。为了及时掌握各种可能出现的水土流失问题，现场隐患。除了调查与观测外，必须进行不断的巡查，制定巡查计划和工作表格，现场填写表格，并定期向水行政主管部门和建设单位汇报和提出相应的处理意见。建设单位在当地水行政主管部门的监督下，根据情况制定相应的处理方案，以保证水土保持监测的时效。</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（4）项目水土保持监测费用应纳入水土保持方案，建设期监测费用应由建设费列支，生产期的监测费用应由生产费用列支。</w:t>
      </w:r>
    </w:p>
    <w:p>
      <w:pPr>
        <w:rPr>
          <w:rFonts w:hint="default" w:ascii="Times New Roman" w:hAnsi="Times New Roman" w:eastAsia="仿宋_GB2312" w:cs="Times New Roman"/>
          <w:color w:val="auto"/>
          <w:spacing w:val="0"/>
          <w:sz w:val="24"/>
          <w:szCs w:val="28"/>
        </w:rPr>
      </w:pPr>
      <w:r>
        <w:rPr>
          <w:rFonts w:hint="default" w:ascii="Times New Roman" w:hAnsi="Times New Roman" w:eastAsia="仿宋_GB2312" w:cs="Times New Roman"/>
          <w:color w:val="auto"/>
          <w:spacing w:val="0"/>
          <w:sz w:val="24"/>
        </w:rPr>
        <w:t>（5）结合项目建设特点和新增水土流失预测结果，以</w:t>
      </w:r>
      <w:r>
        <w:rPr>
          <w:rFonts w:hint="eastAsia" w:cs="Times New Roman"/>
          <w:color w:val="auto"/>
          <w:spacing w:val="0"/>
          <w:sz w:val="24"/>
          <w:lang w:eastAsia="zh-CN"/>
        </w:rPr>
        <w:t>弃渣场区、主体工程下边坡，服务区</w:t>
      </w:r>
      <w:r>
        <w:rPr>
          <w:rFonts w:hint="default" w:ascii="Times New Roman" w:hAnsi="Times New Roman" w:eastAsia="仿宋_GB2312" w:cs="Times New Roman"/>
          <w:color w:val="auto"/>
          <w:spacing w:val="0"/>
          <w:sz w:val="24"/>
        </w:rPr>
        <w:t>作为监测重点；监测方法力求经济、适用和可操作；监测成果客观、及时、准确。</w:t>
      </w:r>
    </w:p>
    <w:p>
      <w:pPr>
        <w:pStyle w:val="4"/>
        <w:rPr>
          <w:rFonts w:hint="default"/>
          <w:color w:val="auto"/>
        </w:rPr>
      </w:pPr>
      <w:bookmarkStart w:id="42" w:name="_Toc400530771"/>
      <w:bookmarkStart w:id="43" w:name="_Toc400529670"/>
      <w:bookmarkStart w:id="44" w:name="_Toc371174602"/>
      <w:r>
        <w:rPr>
          <w:rFonts w:hint="default"/>
          <w:color w:val="auto"/>
        </w:rPr>
        <w:t>1.</w:t>
      </w:r>
      <w:r>
        <w:rPr>
          <w:rFonts w:hint="eastAsia"/>
          <w:color w:val="auto"/>
          <w:lang w:val="en-US" w:eastAsia="zh-CN"/>
        </w:rPr>
        <w:t>4</w:t>
      </w:r>
      <w:r>
        <w:rPr>
          <w:rFonts w:hint="default"/>
          <w:color w:val="auto"/>
        </w:rPr>
        <w:t>.3任务委托及监测工作组织</w:t>
      </w:r>
      <w:bookmarkEnd w:id="42"/>
      <w:bookmarkEnd w:id="43"/>
      <w:bookmarkEnd w:id="44"/>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根据《中华人民共和国水土保持法》、《关于规范生产建设项目水土保持监测工作的意见》（水保</w:t>
      </w:r>
      <w:r>
        <w:rPr>
          <w:rFonts w:hint="eastAsia" w:cs="Times New Roman"/>
          <w:color w:val="auto"/>
          <w:spacing w:val="0"/>
          <w:sz w:val="24"/>
          <w:lang w:eastAsia="zh-CN"/>
        </w:rPr>
        <w:t>〔</w:t>
      </w:r>
      <w:r>
        <w:rPr>
          <w:rFonts w:hint="default" w:ascii="Times New Roman" w:hAnsi="Times New Roman" w:eastAsia="仿宋_GB2312" w:cs="Times New Roman"/>
          <w:color w:val="auto"/>
          <w:spacing w:val="0"/>
          <w:sz w:val="24"/>
        </w:rPr>
        <w:t>2009</w:t>
      </w:r>
      <w:r>
        <w:rPr>
          <w:rFonts w:hint="eastAsia" w:cs="Times New Roman"/>
          <w:color w:val="auto"/>
          <w:spacing w:val="0"/>
          <w:sz w:val="24"/>
          <w:lang w:eastAsia="zh-CN"/>
        </w:rPr>
        <w:t>〕</w:t>
      </w:r>
      <w:r>
        <w:rPr>
          <w:rFonts w:hint="default" w:ascii="Times New Roman" w:hAnsi="Times New Roman" w:eastAsia="仿宋_GB2312" w:cs="Times New Roman"/>
          <w:color w:val="auto"/>
          <w:spacing w:val="0"/>
          <w:sz w:val="24"/>
        </w:rPr>
        <w:t>187号）及《水利部办公厅关于印发生产建设项目水土保持监测规程的通知》（办水保</w:t>
      </w:r>
      <w:r>
        <w:rPr>
          <w:rFonts w:hint="eastAsia" w:cs="Times New Roman"/>
          <w:color w:val="auto"/>
          <w:spacing w:val="0"/>
          <w:sz w:val="24"/>
          <w:lang w:eastAsia="zh-CN"/>
        </w:rPr>
        <w:t>〔</w:t>
      </w:r>
      <w:r>
        <w:rPr>
          <w:rFonts w:hint="default" w:ascii="Times New Roman" w:hAnsi="Times New Roman" w:eastAsia="仿宋_GB2312" w:cs="Times New Roman"/>
          <w:color w:val="auto"/>
          <w:spacing w:val="0"/>
          <w:sz w:val="24"/>
        </w:rPr>
        <w:t>2015</w:t>
      </w:r>
      <w:r>
        <w:rPr>
          <w:rFonts w:hint="eastAsia" w:cs="Times New Roman"/>
          <w:color w:val="auto"/>
          <w:spacing w:val="0"/>
          <w:sz w:val="24"/>
          <w:lang w:eastAsia="zh-CN"/>
        </w:rPr>
        <w:t>〕</w:t>
      </w:r>
      <w:r>
        <w:rPr>
          <w:rFonts w:hint="default" w:ascii="Times New Roman" w:hAnsi="Times New Roman" w:eastAsia="仿宋_GB2312" w:cs="Times New Roman"/>
          <w:color w:val="auto"/>
          <w:spacing w:val="0"/>
          <w:sz w:val="24"/>
        </w:rPr>
        <w:t>139），《生产建设项目水土保持监测单位水平评价管理办法（试行）》（中水会字</w:t>
      </w:r>
      <w:r>
        <w:rPr>
          <w:rFonts w:hint="eastAsia" w:cs="Times New Roman"/>
          <w:color w:val="auto"/>
          <w:spacing w:val="0"/>
          <w:sz w:val="24"/>
          <w:lang w:eastAsia="zh-CN"/>
        </w:rPr>
        <w:t>〔</w:t>
      </w:r>
      <w:r>
        <w:rPr>
          <w:rFonts w:hint="default" w:ascii="Times New Roman" w:hAnsi="Times New Roman" w:eastAsia="仿宋_GB2312" w:cs="Times New Roman"/>
          <w:color w:val="auto"/>
          <w:spacing w:val="0"/>
          <w:sz w:val="24"/>
        </w:rPr>
        <w:t>2015</w:t>
      </w:r>
      <w:r>
        <w:rPr>
          <w:rFonts w:hint="eastAsia" w:cs="Times New Roman"/>
          <w:color w:val="auto"/>
          <w:spacing w:val="0"/>
          <w:sz w:val="24"/>
          <w:lang w:eastAsia="zh-CN"/>
        </w:rPr>
        <w:t>〕</w:t>
      </w:r>
      <w:r>
        <w:rPr>
          <w:rFonts w:hint="default" w:ascii="Times New Roman" w:hAnsi="Times New Roman" w:eastAsia="仿宋_GB2312" w:cs="Times New Roman"/>
          <w:color w:val="auto"/>
          <w:spacing w:val="0"/>
          <w:sz w:val="24"/>
        </w:rPr>
        <w:t>第004号），</w:t>
      </w:r>
      <w:r>
        <w:rPr>
          <w:rFonts w:hint="default" w:ascii="Times New Roman" w:hAnsi="Times New Roman" w:eastAsia="仿宋_GB2312" w:cs="Times New Roman"/>
          <w:color w:val="auto"/>
          <w:spacing w:val="0"/>
          <w:sz w:val="24"/>
          <w:szCs w:val="28"/>
        </w:rPr>
        <w:t>20</w:t>
      </w:r>
      <w:r>
        <w:rPr>
          <w:rFonts w:hint="eastAsia" w:ascii="Times New Roman" w:hAnsi="Times New Roman" w:cs="Times New Roman"/>
          <w:color w:val="auto"/>
          <w:spacing w:val="0"/>
          <w:sz w:val="24"/>
          <w:szCs w:val="28"/>
          <w:lang w:val="en-US" w:eastAsia="zh-CN"/>
        </w:rPr>
        <w:t>18</w:t>
      </w:r>
      <w:r>
        <w:rPr>
          <w:rFonts w:hint="default" w:ascii="Times New Roman" w:hAnsi="Times New Roman" w:eastAsia="仿宋_GB2312" w:cs="Times New Roman"/>
          <w:color w:val="auto"/>
          <w:spacing w:val="0"/>
          <w:sz w:val="24"/>
          <w:szCs w:val="28"/>
        </w:rPr>
        <w:t>年</w:t>
      </w:r>
      <w:r>
        <w:rPr>
          <w:rFonts w:hint="eastAsia" w:cs="Times New Roman"/>
          <w:color w:val="auto"/>
          <w:spacing w:val="0"/>
          <w:sz w:val="24"/>
          <w:szCs w:val="28"/>
          <w:lang w:val="en-US" w:eastAsia="zh-CN"/>
        </w:rPr>
        <w:t>6</w:t>
      </w:r>
      <w:r>
        <w:rPr>
          <w:rFonts w:hint="default" w:ascii="Times New Roman" w:hAnsi="Times New Roman" w:eastAsia="仿宋_GB2312" w:cs="Times New Roman"/>
          <w:color w:val="auto"/>
          <w:spacing w:val="0"/>
          <w:sz w:val="24"/>
          <w:szCs w:val="28"/>
        </w:rPr>
        <w:t>月</w:t>
      </w:r>
      <w:r>
        <w:rPr>
          <w:rFonts w:hint="eastAsia" w:cs="Times New Roman"/>
          <w:color w:val="auto"/>
          <w:spacing w:val="0"/>
          <w:sz w:val="24"/>
          <w:szCs w:val="28"/>
          <w:lang w:val="en-US" w:eastAsia="zh-CN"/>
        </w:rPr>
        <w:t>普安县交通运输局</w:t>
      </w:r>
      <w:r>
        <w:rPr>
          <w:rFonts w:hint="default" w:ascii="Times New Roman" w:hAnsi="Times New Roman" w:eastAsia="仿宋_GB2312" w:cs="Times New Roman"/>
          <w:color w:val="auto"/>
          <w:spacing w:val="0"/>
          <w:sz w:val="24"/>
          <w:szCs w:val="28"/>
        </w:rPr>
        <w:t>委托</w:t>
      </w:r>
      <w:r>
        <w:rPr>
          <w:rFonts w:hint="eastAsia" w:cs="Times New Roman"/>
          <w:color w:val="auto"/>
          <w:spacing w:val="0"/>
          <w:sz w:val="24"/>
          <w:szCs w:val="28"/>
          <w:lang w:eastAsia="zh-CN"/>
        </w:rPr>
        <w:t>贵州天保生态股份有限公司</w:t>
      </w:r>
      <w:r>
        <w:rPr>
          <w:rFonts w:hint="default" w:ascii="Times New Roman" w:hAnsi="Times New Roman" w:eastAsia="仿宋_GB2312" w:cs="Times New Roman"/>
          <w:color w:val="auto"/>
          <w:spacing w:val="0"/>
          <w:sz w:val="24"/>
          <w:szCs w:val="28"/>
        </w:rPr>
        <w:t>承担</w:t>
      </w:r>
      <w:r>
        <w:rPr>
          <w:rFonts w:hint="eastAsia" w:cs="Times New Roman"/>
          <w:color w:val="auto"/>
          <w:spacing w:val="0"/>
          <w:sz w:val="24"/>
          <w:szCs w:val="28"/>
          <w:lang w:eastAsia="zh-CN"/>
        </w:rPr>
        <w:t>G320线普安江西坡至三板桥段改扩建工程</w:t>
      </w:r>
      <w:r>
        <w:rPr>
          <w:rFonts w:hint="default" w:ascii="Times New Roman" w:hAnsi="Times New Roman" w:eastAsia="仿宋_GB2312" w:cs="Times New Roman"/>
          <w:color w:val="auto"/>
          <w:spacing w:val="0"/>
          <w:sz w:val="24"/>
          <w:szCs w:val="28"/>
        </w:rPr>
        <w:t>的水土保持监测工作，接受委托后，我单位成立了</w:t>
      </w:r>
      <w:r>
        <w:rPr>
          <w:rFonts w:hint="eastAsia" w:cs="Times New Roman"/>
          <w:color w:val="auto"/>
          <w:spacing w:val="0"/>
          <w:sz w:val="24"/>
          <w:szCs w:val="28"/>
          <w:lang w:eastAsia="zh-CN"/>
        </w:rPr>
        <w:t>G320线普安江西坡至三板桥段改扩建工程</w:t>
      </w:r>
      <w:r>
        <w:rPr>
          <w:rFonts w:hint="default" w:ascii="Times New Roman" w:hAnsi="Times New Roman" w:eastAsia="仿宋_GB2312" w:cs="Times New Roman"/>
          <w:color w:val="auto"/>
          <w:spacing w:val="0"/>
          <w:sz w:val="24"/>
          <w:szCs w:val="28"/>
        </w:rPr>
        <w:t>水土保持监测项目小组，并制定了监测工作计划。小组成员共包括 13 名管理技术人员，涉及水土保持、水工、农业水利工程、水文与水资源、林学、环境科学及地理科学等相关专业。按照监测工作计划，20</w:t>
      </w:r>
      <w:r>
        <w:rPr>
          <w:rFonts w:hint="eastAsia" w:ascii="Times New Roman" w:hAnsi="Times New Roman" w:cs="Times New Roman"/>
          <w:color w:val="auto"/>
          <w:spacing w:val="0"/>
          <w:sz w:val="24"/>
          <w:szCs w:val="28"/>
          <w:lang w:val="en-US" w:eastAsia="zh-CN"/>
        </w:rPr>
        <w:t>18</w:t>
      </w:r>
      <w:r>
        <w:rPr>
          <w:rFonts w:hint="default" w:ascii="Times New Roman" w:hAnsi="Times New Roman" w:eastAsia="仿宋_GB2312" w:cs="Times New Roman"/>
          <w:color w:val="auto"/>
          <w:spacing w:val="0"/>
          <w:sz w:val="24"/>
          <w:szCs w:val="28"/>
        </w:rPr>
        <w:t>年</w:t>
      </w:r>
      <w:r>
        <w:rPr>
          <w:rFonts w:hint="eastAsia" w:cs="Times New Roman"/>
          <w:color w:val="auto"/>
          <w:spacing w:val="0"/>
          <w:sz w:val="24"/>
          <w:szCs w:val="28"/>
          <w:lang w:val="en-US" w:eastAsia="zh-CN"/>
        </w:rPr>
        <w:t>6</w:t>
      </w:r>
      <w:r>
        <w:rPr>
          <w:rFonts w:hint="default" w:ascii="Times New Roman" w:hAnsi="Times New Roman" w:eastAsia="仿宋_GB2312" w:cs="Times New Roman"/>
          <w:color w:val="auto"/>
          <w:spacing w:val="0"/>
          <w:sz w:val="24"/>
          <w:szCs w:val="28"/>
        </w:rPr>
        <w:t>月，我单位组织相关监测技术人员对项目建设区进行了全面的现场踏勘，并收集了大量的相关资料。通过对收集的数据、资料的整理、分析、总结，并结合工程建设实际情况，依据相关水土保持监测技术规范，编制完成了《</w:t>
      </w:r>
      <w:r>
        <w:rPr>
          <w:rFonts w:hint="eastAsia" w:cs="Times New Roman"/>
          <w:color w:val="auto"/>
          <w:spacing w:val="0"/>
          <w:sz w:val="24"/>
          <w:szCs w:val="28"/>
          <w:lang w:eastAsia="zh-CN"/>
        </w:rPr>
        <w:t>G320线普安江西坡至三板桥段改扩建工程</w:t>
      </w:r>
      <w:r>
        <w:rPr>
          <w:rFonts w:hint="default" w:ascii="Times New Roman" w:hAnsi="Times New Roman" w:eastAsia="仿宋_GB2312" w:cs="Times New Roman"/>
          <w:color w:val="auto"/>
          <w:spacing w:val="0"/>
          <w:sz w:val="24"/>
          <w:szCs w:val="28"/>
        </w:rPr>
        <w:t>水土保持监测实施方案》。本项目采用地面定位观测及调查监测相结合的监测技术体系，对项目建设区内的主体工程建设进度、工程建设扰动地表面积、水土流失灾害隐患、水土流失及造成的危害、水土保持工程建设情况、水土流失防治效果、水土保持工程设计及水土保持管理等开展监测。</w:t>
      </w:r>
    </w:p>
    <w:p>
      <w:pPr>
        <w:pStyle w:val="4"/>
        <w:rPr>
          <w:rFonts w:hint="default"/>
          <w:color w:val="auto"/>
        </w:rPr>
      </w:pPr>
      <w:bookmarkStart w:id="45" w:name="_Toc267249642"/>
      <w:bookmarkStart w:id="46" w:name="_Toc430627071"/>
      <w:bookmarkStart w:id="47" w:name="_Toc359583381"/>
      <w:bookmarkStart w:id="48" w:name="_Toc281936240"/>
      <w:r>
        <w:rPr>
          <w:rFonts w:hint="default"/>
          <w:color w:val="auto"/>
        </w:rPr>
        <w:t>1.</w:t>
      </w:r>
      <w:r>
        <w:rPr>
          <w:rFonts w:hint="eastAsia"/>
          <w:color w:val="auto"/>
          <w:lang w:val="en-US" w:eastAsia="zh-CN"/>
        </w:rPr>
        <w:t>4</w:t>
      </w:r>
      <w:r>
        <w:rPr>
          <w:rFonts w:hint="default"/>
          <w:color w:val="auto"/>
        </w:rPr>
        <w:t>.4监测点布设</w:t>
      </w:r>
      <w:bookmarkEnd w:id="45"/>
      <w:bookmarkEnd w:id="46"/>
      <w:bookmarkEnd w:id="47"/>
      <w:bookmarkEnd w:id="48"/>
      <w:bookmarkStart w:id="49" w:name="_Toc267249643"/>
      <w:bookmarkStart w:id="50" w:name="_Toc359583382"/>
      <w:bookmarkStart w:id="51" w:name="_Toc281936241"/>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(一)监测点布设的基本原则</w:t>
      </w:r>
      <w:bookmarkEnd w:id="49"/>
      <w:bookmarkEnd w:id="50"/>
      <w:bookmarkEnd w:id="51"/>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(1)代表性原则</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结合新增水土流失预测结果及监测重点地段及重点对象，选择具有水土流失代表性的场所进行监测；</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(2)可操作性原则</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结合工程项目对水土流失的影响特点，力求经济、适用、可操作；</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(3)结合工程实际情况布设原则</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布设水土保持监测点应结合工程实际情况，这样才能更好的为项目水土保持监测服务，使得水土保持监测工作与项目具体情况接轨；</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(4)时段对应性原则</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工程建设期，在工程建设区建立适当的监测点，建立原则主要以能有效、全面的监测水土流失状况、危害及防治措施的效果为主。</w:t>
      </w:r>
    </w:p>
    <w:p>
      <w:pPr>
        <w:rPr>
          <w:rFonts w:hint="default" w:ascii="Times New Roman" w:hAnsi="Times New Roman" w:eastAsia="仿宋_GB2312" w:cs="Times New Roman"/>
          <w:color w:val="auto"/>
          <w:spacing w:val="0"/>
          <w:sz w:val="24"/>
          <w:szCs w:val="28"/>
        </w:rPr>
      </w:pPr>
      <w:r>
        <w:rPr>
          <w:rFonts w:hint="default" w:ascii="Times New Roman" w:hAnsi="Times New Roman" w:eastAsia="仿宋_GB2312" w:cs="Times New Roman"/>
          <w:color w:val="auto"/>
          <w:spacing w:val="0"/>
          <w:sz w:val="24"/>
        </w:rPr>
        <w:t>林草植被恢复期，在上述监测点的基础上，在项目直接影响区内增设调查样点，建立原则以能反映人类活动对水土流失及生态环境的影响为主。</w:t>
      </w:r>
    </w:p>
    <w:p>
      <w:pPr>
        <w:rPr>
          <w:rFonts w:hint="default" w:ascii="Times New Roman" w:hAnsi="Times New Roman" w:eastAsia="仿宋_GB2312" w:cs="Times New Roman"/>
          <w:color w:val="auto"/>
          <w:spacing w:val="0"/>
          <w:sz w:val="24"/>
        </w:rPr>
      </w:pPr>
      <w:bookmarkStart w:id="52" w:name="_Toc267249645"/>
      <w:bookmarkStart w:id="53" w:name="_Toc281936243"/>
      <w:bookmarkStart w:id="54" w:name="_Toc359583384"/>
      <w:r>
        <w:rPr>
          <w:rFonts w:hint="default" w:ascii="Times New Roman" w:hAnsi="Times New Roman" w:eastAsia="仿宋_GB2312" w:cs="Times New Roman"/>
          <w:color w:val="auto"/>
          <w:spacing w:val="0"/>
          <w:sz w:val="24"/>
        </w:rPr>
        <w:t>（二）监测点布设结果</w:t>
      </w:r>
      <w:bookmarkEnd w:id="52"/>
      <w:bookmarkEnd w:id="53"/>
      <w:bookmarkEnd w:id="54"/>
    </w:p>
    <w:p>
      <w:pPr>
        <w:keepNext w:val="0"/>
        <w:keepLines w:val="0"/>
        <w:pageBreakBefore w:val="0"/>
        <w:widowControl w:val="0"/>
        <w:kinsoku/>
        <w:wordWrap/>
        <w:overflowPunct/>
        <w:topLinePunct/>
        <w:autoSpaceDE/>
        <w:autoSpaceDN/>
        <w:bidi w:val="0"/>
        <w:adjustRightInd w:val="0"/>
        <w:snapToGrid w:val="0"/>
        <w:ind w:left="0" w:leftChars="0" w:firstLine="480" w:firstLineChars="200"/>
        <w:textAlignment w:val="auto"/>
        <w:rPr>
          <w:rFonts w:hint="default" w:ascii="Times New Roman" w:hAnsi="Times New Roman" w:eastAsia="仿宋_GB2312" w:cs="Times New Roman"/>
          <w:color w:val="auto"/>
          <w:spacing w:val="0"/>
          <w:sz w:val="24"/>
        </w:rPr>
      </w:pPr>
      <w:bookmarkStart w:id="55" w:name="_Toc241203316"/>
      <w:bookmarkStart w:id="56" w:name="_Toc359583385"/>
      <w:r>
        <w:rPr>
          <w:rFonts w:hint="eastAsia" w:ascii="Times New Roman" w:hAnsi="Times New Roman"/>
          <w:color w:val="auto"/>
          <w:lang w:eastAsia="zh-CN"/>
        </w:rPr>
        <w:t>根据本项目的实际情况，监测小组通过</w:t>
      </w:r>
      <w:r>
        <w:rPr>
          <w:rFonts w:ascii="Times New Roman" w:hAnsi="Times New Roman" w:eastAsia="仿宋_GB2312"/>
          <w:color w:val="auto"/>
        </w:rPr>
        <w:t>资料调阅、地面观测和调查监测等相结合的方式，对工程进行监测。按照水土保持监测规范，本工程共布设</w:t>
      </w:r>
      <w:r>
        <w:rPr>
          <w:rFonts w:hint="eastAsia"/>
          <w:color w:val="auto"/>
          <w:lang w:val="en-US" w:eastAsia="zh-CN"/>
        </w:rPr>
        <w:t>10</w:t>
      </w:r>
      <w:r>
        <w:rPr>
          <w:rFonts w:ascii="Times New Roman" w:hAnsi="Times New Roman" w:eastAsia="仿宋_GB2312"/>
          <w:color w:val="auto"/>
        </w:rPr>
        <w:t>个水土保持监测点，分别为：</w:t>
      </w:r>
      <w:r>
        <w:rPr>
          <w:rFonts w:hint="eastAsia"/>
          <w:color w:val="auto"/>
          <w:lang w:val="en-US" w:eastAsia="zh-CN"/>
        </w:rPr>
        <w:t>路基工程</w:t>
      </w:r>
      <w:r>
        <w:rPr>
          <w:rFonts w:hint="eastAsia"/>
          <w:color w:val="auto"/>
          <w:lang w:eastAsia="zh-CN"/>
        </w:rPr>
        <w:t>区</w:t>
      </w:r>
      <w:r>
        <w:rPr>
          <w:rFonts w:hint="eastAsia"/>
          <w:color w:val="auto"/>
          <w:lang w:val="en-US" w:eastAsia="zh-CN"/>
        </w:rPr>
        <w:t>3</w:t>
      </w:r>
      <w:r>
        <w:rPr>
          <w:rFonts w:ascii="Times New Roman" w:hAnsi="Times New Roman" w:eastAsia="仿宋_GB2312"/>
          <w:color w:val="auto"/>
        </w:rPr>
        <w:t>个，</w:t>
      </w:r>
      <w:r>
        <w:rPr>
          <w:rFonts w:hint="eastAsia"/>
          <w:color w:val="auto"/>
          <w:lang w:val="en-US" w:eastAsia="zh-CN"/>
        </w:rPr>
        <w:t>桥梁</w:t>
      </w:r>
      <w:r>
        <w:rPr>
          <w:rFonts w:hint="eastAsia"/>
          <w:color w:val="auto"/>
          <w:lang w:eastAsia="zh-CN"/>
        </w:rPr>
        <w:t>工程</w:t>
      </w:r>
      <w:r>
        <w:rPr>
          <w:rFonts w:ascii="Times New Roman" w:hAnsi="Times New Roman" w:eastAsia="仿宋_GB2312"/>
          <w:color w:val="auto"/>
        </w:rPr>
        <w:t>区</w:t>
      </w:r>
      <w:r>
        <w:rPr>
          <w:rFonts w:hint="eastAsia"/>
          <w:color w:val="auto"/>
          <w:lang w:val="en-US" w:eastAsia="zh-CN"/>
        </w:rPr>
        <w:t>1</w:t>
      </w:r>
      <w:r>
        <w:rPr>
          <w:rFonts w:ascii="Times New Roman" w:hAnsi="Times New Roman" w:eastAsia="仿宋_GB2312"/>
          <w:color w:val="auto"/>
        </w:rPr>
        <w:t>个，</w:t>
      </w:r>
      <w:r>
        <w:rPr>
          <w:rFonts w:hint="eastAsia"/>
          <w:color w:val="auto"/>
          <w:lang w:val="en-US" w:eastAsia="zh-CN"/>
        </w:rPr>
        <w:t>料场</w:t>
      </w:r>
      <w:r>
        <w:rPr>
          <w:rFonts w:hint="eastAsia"/>
          <w:color w:val="auto"/>
          <w:lang w:eastAsia="zh-CN"/>
        </w:rPr>
        <w:t>区</w:t>
      </w:r>
      <w:r>
        <w:rPr>
          <w:rFonts w:hint="eastAsia"/>
          <w:color w:val="auto"/>
          <w:lang w:val="en-US" w:eastAsia="zh-CN"/>
        </w:rPr>
        <w:t>1个</w:t>
      </w:r>
      <w:r>
        <w:rPr>
          <w:rFonts w:hint="eastAsia"/>
          <w:color w:val="auto"/>
          <w:lang w:eastAsia="zh-CN"/>
        </w:rPr>
        <w:t>，</w:t>
      </w:r>
      <w:r>
        <w:rPr>
          <w:rFonts w:hint="eastAsia"/>
          <w:color w:val="auto"/>
          <w:lang w:val="en-US" w:eastAsia="zh-CN"/>
        </w:rPr>
        <w:t>弃渣场</w:t>
      </w:r>
      <w:r>
        <w:rPr>
          <w:rFonts w:ascii="Times New Roman" w:hAnsi="Times New Roman" w:eastAsia="仿宋_GB2312"/>
          <w:color w:val="auto"/>
        </w:rPr>
        <w:t>区</w:t>
      </w:r>
      <w:r>
        <w:rPr>
          <w:rFonts w:hint="eastAsia"/>
          <w:color w:val="auto"/>
          <w:lang w:val="en-US" w:eastAsia="zh-CN"/>
        </w:rPr>
        <w:t>4</w:t>
      </w:r>
      <w:r>
        <w:rPr>
          <w:rFonts w:ascii="Times New Roman" w:hAnsi="Times New Roman" w:eastAsia="仿宋_GB2312"/>
          <w:color w:val="auto"/>
        </w:rPr>
        <w:t>个</w:t>
      </w:r>
      <w:r>
        <w:rPr>
          <w:rFonts w:hint="eastAsia"/>
          <w:color w:val="auto"/>
          <w:lang w:eastAsia="zh-CN"/>
        </w:rPr>
        <w:t>，</w:t>
      </w:r>
      <w:r>
        <w:rPr>
          <w:rFonts w:hint="eastAsia"/>
          <w:color w:val="auto"/>
          <w:lang w:val="en-US" w:eastAsia="zh-CN"/>
        </w:rPr>
        <w:t>拌合站</w:t>
      </w:r>
      <w:r>
        <w:rPr>
          <w:rFonts w:hint="eastAsia"/>
          <w:color w:val="auto"/>
          <w:lang w:eastAsia="zh-CN"/>
        </w:rPr>
        <w:t>区</w:t>
      </w:r>
      <w:r>
        <w:rPr>
          <w:rFonts w:hint="eastAsia"/>
          <w:color w:val="auto"/>
          <w:lang w:val="en-US" w:eastAsia="zh-CN"/>
        </w:rPr>
        <w:t>1</w:t>
      </w:r>
      <w:r>
        <w:rPr>
          <w:rFonts w:hint="eastAsia"/>
          <w:color w:val="auto"/>
          <w:lang w:eastAsia="zh-CN"/>
        </w:rPr>
        <w:t>个</w:t>
      </w:r>
      <w:r>
        <w:rPr>
          <w:rFonts w:ascii="Times New Roman" w:hAnsi="Times New Roman" w:eastAsia="仿宋_GB2312"/>
          <w:color w:val="auto"/>
        </w:rPr>
        <w:t>。</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（三）监测重点地段、重点对象</w:t>
      </w:r>
      <w:bookmarkEnd w:id="55"/>
      <w:bookmarkEnd w:id="56"/>
    </w:p>
    <w:p>
      <w:pPr>
        <w:rPr>
          <w:rFonts w:hint="eastAsia" w:ascii="Times New Roman" w:hAnsi="Times New Roman" w:cs="Times New Roman"/>
          <w:color w:val="auto"/>
          <w:spacing w:val="0"/>
          <w:sz w:val="24"/>
          <w:lang w:val="en-US" w:eastAsia="zh-CN"/>
        </w:rPr>
        <w:sectPr>
          <w:pgSz w:w="11906" w:h="16838"/>
          <w:pgMar w:top="1304" w:right="1418" w:bottom="1247" w:left="1701" w:header="851" w:footer="992" w:gutter="0"/>
          <w:pgBorders>
            <w:top w:val="none" w:sz="0" w:space="0"/>
            <w:left w:val="none" w:sz="0" w:space="0"/>
            <w:bottom w:val="none" w:sz="0" w:space="0"/>
            <w:right w:val="none" w:sz="0" w:space="0"/>
          </w:pgBorders>
          <w:pgNumType w:fmt="decimal"/>
          <w:cols w:space="720" w:num="1"/>
          <w:docGrid w:linePitch="326" w:charSpace="0"/>
        </w:sectPr>
      </w:pPr>
      <w:r>
        <w:rPr>
          <w:rFonts w:hint="default" w:ascii="Times New Roman" w:hAnsi="Times New Roman" w:eastAsia="仿宋_GB2312" w:cs="Times New Roman"/>
          <w:color w:val="auto"/>
          <w:spacing w:val="0"/>
          <w:sz w:val="24"/>
        </w:rPr>
        <w:t>在</w:t>
      </w:r>
      <w:r>
        <w:rPr>
          <w:rFonts w:hint="eastAsia" w:cs="Times New Roman"/>
          <w:color w:val="auto"/>
          <w:spacing w:val="0"/>
          <w:sz w:val="24"/>
          <w:lang w:eastAsia="zh-CN"/>
        </w:rPr>
        <w:t>建设</w:t>
      </w:r>
      <w:r>
        <w:rPr>
          <w:rFonts w:hint="default" w:ascii="Times New Roman" w:hAnsi="Times New Roman" w:eastAsia="仿宋_GB2312" w:cs="Times New Roman"/>
          <w:color w:val="auto"/>
          <w:spacing w:val="0"/>
          <w:sz w:val="24"/>
        </w:rPr>
        <w:t>期中，</w:t>
      </w:r>
      <w:r>
        <w:rPr>
          <w:rFonts w:hint="eastAsia" w:cs="Times New Roman"/>
          <w:color w:val="auto"/>
          <w:spacing w:val="0"/>
          <w:sz w:val="24"/>
          <w:lang w:eastAsia="zh-CN"/>
        </w:rPr>
        <w:t>随着本项目逐渐被扰动，裸露面积逐渐扩大，道路区、</w:t>
      </w:r>
      <w:r>
        <w:rPr>
          <w:rFonts w:hint="eastAsia" w:cs="Times New Roman"/>
          <w:color w:val="auto"/>
          <w:spacing w:val="0"/>
          <w:sz w:val="24"/>
          <w:lang w:val="en-US" w:eastAsia="zh-CN"/>
        </w:rPr>
        <w:t>弃渣场、取料场</w:t>
      </w:r>
      <w:r>
        <w:rPr>
          <w:rFonts w:hint="eastAsia" w:cs="Times New Roman"/>
          <w:color w:val="auto"/>
          <w:spacing w:val="0"/>
          <w:sz w:val="24"/>
          <w:lang w:eastAsia="zh-CN"/>
        </w:rPr>
        <w:t>区等区域出现大面积的裸露地表和开挖边坡，极大地加重了水土流失，若不采取措施，将存在一定的水土流失灾害隐患，因此</w:t>
      </w:r>
      <w:r>
        <w:rPr>
          <w:rFonts w:hint="default" w:ascii="Times New Roman" w:hAnsi="Times New Roman" w:eastAsia="仿宋_GB2312" w:cs="Times New Roman"/>
          <w:color w:val="auto"/>
          <w:spacing w:val="0"/>
          <w:sz w:val="24"/>
        </w:rPr>
        <w:t>，本工程监测的重点区域</w:t>
      </w:r>
      <w:r>
        <w:rPr>
          <w:rFonts w:hint="eastAsia" w:ascii="Times New Roman" w:hAnsi="Times New Roman" w:eastAsia="仿宋_GB2312" w:cs="Times New Roman"/>
          <w:color w:val="auto"/>
          <w:spacing w:val="0"/>
          <w:sz w:val="24"/>
          <w:lang w:eastAsia="zh-CN"/>
        </w:rPr>
        <w:t>为道</w:t>
      </w:r>
      <w:r>
        <w:rPr>
          <w:rFonts w:hint="eastAsia" w:ascii="Times New Roman" w:hAnsi="Times New Roman" w:eastAsia="仿宋_GB2312" w:cs="Times New Roman"/>
          <w:color w:val="auto"/>
          <w:spacing w:val="0"/>
          <w:sz w:val="24"/>
        </w:rPr>
        <w:t>路</w:t>
      </w:r>
      <w:r>
        <w:rPr>
          <w:rFonts w:hint="eastAsia" w:cs="Times New Roman"/>
          <w:color w:val="auto"/>
          <w:spacing w:val="0"/>
          <w:sz w:val="24"/>
          <w:lang w:eastAsia="zh-CN"/>
        </w:rPr>
        <w:t>区及大坝枢纽区开挖边</w:t>
      </w:r>
      <w:r>
        <w:rPr>
          <w:rFonts w:hint="eastAsia" w:ascii="Times New Roman" w:hAnsi="Times New Roman" w:eastAsia="仿宋_GB2312" w:cs="Times New Roman"/>
          <w:color w:val="auto"/>
          <w:spacing w:val="0"/>
          <w:sz w:val="24"/>
        </w:rPr>
        <w:t>等区域</w:t>
      </w:r>
      <w:bookmarkStart w:id="57" w:name="_Toc427054639"/>
      <w:bookmarkStart w:id="58" w:name="_Toc400530773"/>
      <w:bookmarkStart w:id="59" w:name="_Toc400529672"/>
      <w:bookmarkStart w:id="60" w:name="_Toc371174604"/>
      <w:r>
        <w:rPr>
          <w:rFonts w:hint="eastAsia" w:ascii="Times New Roman" w:hAnsi="Times New Roman" w:cs="Times New Roman"/>
          <w:color w:val="auto"/>
          <w:spacing w:val="0"/>
          <w:sz w:val="24"/>
          <w:lang w:eastAsia="zh-CN"/>
        </w:rPr>
        <w:t>。</w:t>
      </w:r>
    </w:p>
    <w:p>
      <w:pPr>
        <w:pStyle w:val="2"/>
        <w:rPr>
          <w:rFonts w:hint="default"/>
          <w:color w:val="auto"/>
        </w:rPr>
      </w:pPr>
      <w:bookmarkStart w:id="61" w:name="_Toc11309"/>
      <w:r>
        <w:rPr>
          <w:rFonts w:hint="default"/>
          <w:color w:val="auto"/>
        </w:rPr>
        <w:t>2监测内容、方法</w:t>
      </w:r>
      <w:bookmarkEnd w:id="57"/>
      <w:r>
        <w:rPr>
          <w:rFonts w:hint="default"/>
          <w:color w:val="auto"/>
        </w:rPr>
        <w:t>及过程</w:t>
      </w:r>
      <w:bookmarkEnd w:id="61"/>
    </w:p>
    <w:p>
      <w:pPr>
        <w:pStyle w:val="3"/>
        <w:rPr>
          <w:rFonts w:hint="default"/>
          <w:color w:val="auto"/>
        </w:rPr>
      </w:pPr>
      <w:bookmarkStart w:id="62" w:name="_Toc430627073"/>
      <w:bookmarkStart w:id="63" w:name="_Toc433701508"/>
      <w:bookmarkStart w:id="64" w:name="_Toc311"/>
      <w:bookmarkStart w:id="65" w:name="_Toc359583367"/>
      <w:r>
        <w:rPr>
          <w:rFonts w:hint="default"/>
          <w:color w:val="auto"/>
        </w:rPr>
        <w:t>2.1监测内容</w:t>
      </w:r>
      <w:bookmarkEnd w:id="62"/>
      <w:bookmarkEnd w:id="63"/>
      <w:bookmarkEnd w:id="64"/>
      <w:bookmarkEnd w:id="65"/>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本项目水土保持监测的主要内容包括：</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（一）项目区水土流失因子监测：包括地貌、地形和水系情况，建设项目占有地面积，扰动地表面积，项目挖方、填方数量，弃渣量及堆放面积，项目区林草覆盖率。</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（二）项目区水土流失状况监测：包括水土流失面积、水土流失量、水土流失程度的变化情况，水土流失防治责任范围内防治措施情况等。</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（三）水土流失灾害监测：主要包括下游河道泥沙、洪涝灾害、植被及生态环境变化，对周边地区经济、社会发展的影响等。</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（四）水土保持措施防治效果监测：包括防治措施的数量，林草措施成活率、保存率、生长情况及盖度，各项拦挡措施的拦渣保土效果。</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（五）主体工程建设进度监测：包括主体工程施工进度、相应的水土保持措施实施进度、主体工程实施的水土保持措施实施后的防治效果等，采用现场调查、测量，列表统计。</w:t>
      </w:r>
    </w:p>
    <w:p>
      <w:pPr>
        <w:pStyle w:val="4"/>
        <w:rPr>
          <w:rFonts w:hint="default"/>
          <w:color w:val="auto"/>
        </w:rPr>
      </w:pPr>
      <w:bookmarkStart w:id="66" w:name="_Toc267249625"/>
      <w:bookmarkStart w:id="67" w:name="_Toc281936222"/>
      <w:bookmarkStart w:id="68" w:name="_Toc359583368"/>
      <w:bookmarkStart w:id="69" w:name="_Toc430627074"/>
      <w:r>
        <w:rPr>
          <w:rFonts w:hint="default"/>
          <w:color w:val="auto"/>
        </w:rPr>
        <w:t>2.1.1防治责任范围监测</w:t>
      </w:r>
      <w:bookmarkEnd w:id="66"/>
      <w:bookmarkEnd w:id="67"/>
      <w:bookmarkEnd w:id="68"/>
      <w:bookmarkEnd w:id="69"/>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防治责任范围监测主要是在项目的运行期开展监测工作，主要包括项目建设区和直接影响区。</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(1)建设区</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A 永久性占地：永久性占地是指项目建设征地红线范围内、由项目建设者（或业主）负责管辖和承担水土保持法律责任的地方。永久性占地面积由国土部门按权限批准。水土保持监测是对红线范围地区进行认真复核，监测项目建设有无超范围开发的情况，以及各阶段永久性占地的变化情况。</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B 临时性占地：临时性占地是指因主体工程开发需要、临时占用的部分土地，土地管辖权仍属于原单位（或个人），建设单位无土地管辖权。水土保持监测是复核临时性占地面积有否超范围使用。</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C 扰动地表面积：地表面积是指开发建设项目在建设过程中扰动地表行为造成破坏或占用的面积。对原有地表植被或地形地貌发生改变的行为，均属于扰动地表行为。水土保持监测内容为认真复核扰动地表面积。</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(2)影响区</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主要指因项目建设引起的水土流失影响范围内（项目建设区以外）。水土保持监测主要对直接影响区是否存在占用、破坏等情况进行调查。</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根据项目建设区及直接影响区面积变化情况，对整个项目的全部区域在项目建设过程中实际发生的水土流失防治责任范围变化情况进行监测。</w:t>
      </w:r>
    </w:p>
    <w:p>
      <w:pPr>
        <w:pStyle w:val="4"/>
        <w:rPr>
          <w:rFonts w:hint="default"/>
          <w:color w:val="auto"/>
        </w:rPr>
      </w:pPr>
      <w:bookmarkStart w:id="70" w:name="_Toc267249626"/>
      <w:bookmarkStart w:id="71" w:name="_Toc281936223"/>
      <w:bookmarkStart w:id="72" w:name="_Toc359583369"/>
      <w:bookmarkStart w:id="73" w:name="_Toc430627075"/>
      <w:r>
        <w:rPr>
          <w:rFonts w:hint="default"/>
          <w:color w:val="auto"/>
        </w:rPr>
        <w:t>2.1.2取土（石）、弃渣监测</w:t>
      </w:r>
      <w:bookmarkEnd w:id="70"/>
      <w:bookmarkEnd w:id="71"/>
      <w:bookmarkEnd w:id="72"/>
      <w:bookmarkEnd w:id="73"/>
    </w:p>
    <w:p>
      <w:pPr>
        <w:rPr>
          <w:rFonts w:hint="default" w:ascii="Times New Roman" w:hAnsi="Times New Roman" w:eastAsia="仿宋_GB2312" w:cs="Times New Roman"/>
          <w:color w:val="auto"/>
          <w:spacing w:val="0"/>
          <w:sz w:val="24"/>
        </w:rPr>
      </w:pPr>
      <w:r>
        <w:rPr>
          <w:rFonts w:hint="eastAsia" w:cs="Times New Roman"/>
          <w:color w:val="auto"/>
          <w:spacing w:val="0"/>
          <w:sz w:val="24"/>
          <w:lang w:val="en-US" w:eastAsia="zh-CN"/>
        </w:rPr>
        <w:t>根据现场监测，本项目共设置1个取料场（占地面积2.26hm</w:t>
      </w:r>
      <w:r>
        <w:rPr>
          <w:rFonts w:hint="eastAsia" w:cs="Times New Roman"/>
          <w:color w:val="auto"/>
          <w:spacing w:val="0"/>
          <w:sz w:val="24"/>
          <w:vertAlign w:val="superscript"/>
          <w:lang w:val="en-US" w:eastAsia="zh-CN"/>
        </w:rPr>
        <w:t>2</w:t>
      </w:r>
      <w:r>
        <w:rPr>
          <w:rFonts w:hint="eastAsia" w:cs="Times New Roman"/>
          <w:color w:val="auto"/>
          <w:spacing w:val="0"/>
          <w:sz w:val="24"/>
          <w:vertAlign w:val="baseline"/>
          <w:lang w:val="en-US" w:eastAsia="zh-CN"/>
        </w:rPr>
        <w:t>，取方量23万m</w:t>
      </w:r>
      <w:r>
        <w:rPr>
          <w:rFonts w:hint="eastAsia" w:cs="Times New Roman"/>
          <w:color w:val="auto"/>
          <w:spacing w:val="0"/>
          <w:sz w:val="24"/>
          <w:vertAlign w:val="superscript"/>
          <w:lang w:val="en-US" w:eastAsia="zh-CN"/>
        </w:rPr>
        <w:t>3</w:t>
      </w:r>
      <w:r>
        <w:rPr>
          <w:rFonts w:hint="eastAsia" w:cs="Times New Roman"/>
          <w:color w:val="auto"/>
          <w:spacing w:val="0"/>
          <w:sz w:val="24"/>
          <w:lang w:val="en-US" w:eastAsia="zh-CN"/>
        </w:rPr>
        <w:t>），共设置6个弃渣场（占地面积3.86hm</w:t>
      </w:r>
      <w:r>
        <w:rPr>
          <w:rFonts w:hint="eastAsia" w:cs="Times New Roman"/>
          <w:color w:val="auto"/>
          <w:spacing w:val="0"/>
          <w:sz w:val="24"/>
          <w:vertAlign w:val="superscript"/>
          <w:lang w:val="en-US" w:eastAsia="zh-CN"/>
        </w:rPr>
        <w:t>2</w:t>
      </w:r>
      <w:r>
        <w:rPr>
          <w:rFonts w:hint="eastAsia" w:cs="Times New Roman"/>
          <w:color w:val="auto"/>
          <w:spacing w:val="0"/>
          <w:sz w:val="24"/>
          <w:lang w:val="en-US" w:eastAsia="zh-CN"/>
        </w:rPr>
        <w:t>，弃方量32.3万m</w:t>
      </w:r>
      <w:r>
        <w:rPr>
          <w:rFonts w:hint="eastAsia" w:cs="Times New Roman"/>
          <w:color w:val="auto"/>
          <w:spacing w:val="0"/>
          <w:sz w:val="24"/>
          <w:vertAlign w:val="superscript"/>
          <w:lang w:val="en-US" w:eastAsia="zh-CN"/>
        </w:rPr>
        <w:t>3</w:t>
      </w:r>
      <w:r>
        <w:rPr>
          <w:rFonts w:hint="eastAsia" w:cs="Times New Roman"/>
          <w:color w:val="auto"/>
          <w:spacing w:val="0"/>
          <w:sz w:val="24"/>
          <w:lang w:val="en-US" w:eastAsia="zh-CN"/>
        </w:rPr>
        <w:t>）。</w:t>
      </w:r>
    </w:p>
    <w:p>
      <w:pPr>
        <w:pStyle w:val="4"/>
        <w:rPr>
          <w:rFonts w:hint="default"/>
          <w:color w:val="auto"/>
        </w:rPr>
      </w:pPr>
      <w:bookmarkStart w:id="74" w:name="_Toc281936224"/>
      <w:bookmarkStart w:id="75" w:name="_Toc267249627"/>
      <w:bookmarkStart w:id="76" w:name="_Toc359583370"/>
      <w:bookmarkStart w:id="77" w:name="_Toc430627076"/>
      <w:r>
        <w:rPr>
          <w:rFonts w:hint="default"/>
          <w:color w:val="auto"/>
        </w:rPr>
        <w:t>2.1.3水土流失防治监测</w:t>
      </w:r>
      <w:bookmarkEnd w:id="74"/>
      <w:bookmarkEnd w:id="75"/>
      <w:bookmarkEnd w:id="76"/>
      <w:bookmarkEnd w:id="77"/>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水土流失防治监测主要是运行期开展监测工作，监测内容主要包括水土流失状况监测、水土保持措施防治效果监测和水土流失危害监测。土流失防治监测主要包括水土流失状况监测、水土保持措施防治效果监测和水土流失危害监测。</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(1)水土流失状况监测</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主要监测项目建设区内土壤侵蚀类型及形式、水土流失面积。根据本项目所在地区实际情况，土壤侵蚀的类型主要为水力侵蚀及重力侵蚀，其中，水力侵蚀形式分为沟蚀和面蚀。此外，对监测内容还包括水土流失面积的监测。</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A 水力侵蚀：面蚀-降雨和地表径流使坡地表土比较均匀剥蚀的一种水力侵蚀包括溅蚀、片蚀和细沟侵蚀。沟蚀-坡面径流冲刷土壤或土体，并切割陆地地表形成沟道的过程，又称线状侵蚀或沟状侵蚀。</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B 重力侵蚀：坡地表层土石物质，主要由于受到重力作用，失去平衡，发生位移和堆积的现象，称为重力侵蚀。</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C 水土流失面积：除微度侵蚀外，其他强度的侵蚀面积统称为水土流失面积。</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(2)运行期水土保持措施防治效果监测</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A 水土保持防治措施（工程措施和植物措施）的数量和质量；</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B 工程防护措施的稳定性、完好程度和运行情况；</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C 林草的生长发育情况（树高、乔木胸径、灌木冠幅）、成活率、保存率、抗性及植被覆盖率；</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D 各种已实施的水土保持措施的拦沙（渣）保土效果监测，包括挖方、填方数量及面积、弃土、弃石、弃渣量及堆放面积；控制土壤流失量、提高拦渣率、改善生态环境的作用等。</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E 防治目标监测，监测各个防治目标的达标情况。</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F 监督、管理措施的落实情况</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运行期水土保持措施防治效果的监测是针对整个项目的全部区域开展的。</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(3)水土流失危害监测</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A 对周边或下游河道、天然排水通道的影响情况：监测水土流失是否流入项目建设区周边或下游河道、天然排水通道，是否对其产生严重危害等影响。</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B 对周边影响情况：根据项目实际情况，监测项目建设是否对周边产生影响或危害。</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C 其他水土流失危害：除上述几类危害外，监测项目建设是否还造成了其他的水土流失危害。</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lang w:val="en-US" w:eastAsia="zh-CN"/>
        </w:rPr>
        <w:t>根据现场调查，本项目在建设过程中，实施了完善的水土流失危害防治措施及应急预案，通过监测人员对项目建设区造成的水土流失对周边农田、乡村道路及植被的危害调查、对周边民房、居民造成的影响状况、水土流失危害趋势以及可能发生灾害现象、造成水土流失对区域生态环境影响状况等的现场调查结果显示，本项目建设期间没有水土流失危害事件的发生。</w:t>
      </w:r>
    </w:p>
    <w:p>
      <w:pPr>
        <w:pStyle w:val="4"/>
        <w:rPr>
          <w:rFonts w:hint="default"/>
          <w:color w:val="auto"/>
        </w:rPr>
      </w:pPr>
      <w:bookmarkStart w:id="78" w:name="_Toc281936225"/>
      <w:bookmarkStart w:id="79" w:name="_Toc430627077"/>
      <w:bookmarkStart w:id="80" w:name="_Toc359583371"/>
      <w:bookmarkStart w:id="81" w:name="_Toc267249628"/>
      <w:r>
        <w:rPr>
          <w:rFonts w:hint="default"/>
          <w:color w:val="auto"/>
        </w:rPr>
        <w:t>2.1.4土壤流失量监测</w:t>
      </w:r>
      <w:bookmarkEnd w:id="78"/>
      <w:bookmarkEnd w:id="79"/>
      <w:bookmarkEnd w:id="80"/>
      <w:bookmarkEnd w:id="81"/>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土壤流失量监测主要包括水土流失面积监测、土壤流失量监测、场内潜在土壤流失量监测、水土流失危害监测，</w:t>
      </w:r>
      <w:r>
        <w:rPr>
          <w:rFonts w:hint="eastAsia" w:cs="Times New Roman"/>
          <w:color w:val="auto"/>
          <w:spacing w:val="0"/>
          <w:sz w:val="24"/>
          <w:lang w:eastAsia="zh-CN"/>
        </w:rPr>
        <w:t>建设期</w:t>
      </w:r>
      <w:r>
        <w:rPr>
          <w:rFonts w:hint="default" w:ascii="Times New Roman" w:hAnsi="Times New Roman" w:eastAsia="仿宋_GB2312" w:cs="Times New Roman"/>
          <w:color w:val="auto"/>
          <w:spacing w:val="0"/>
          <w:sz w:val="24"/>
        </w:rPr>
        <w:t>期重点监测区域是场内道路开挖回填边坡、</w:t>
      </w:r>
      <w:r>
        <w:rPr>
          <w:rFonts w:hint="eastAsia" w:cs="Times New Roman"/>
          <w:color w:val="auto"/>
          <w:spacing w:val="0"/>
          <w:sz w:val="24"/>
          <w:lang w:eastAsia="zh-CN"/>
        </w:rPr>
        <w:t>大坝枢纽区</w:t>
      </w:r>
      <w:r>
        <w:rPr>
          <w:rFonts w:hint="default" w:ascii="Times New Roman" w:hAnsi="Times New Roman" w:eastAsia="仿宋_GB2312" w:cs="Times New Roman"/>
          <w:color w:val="auto"/>
          <w:spacing w:val="0"/>
          <w:sz w:val="24"/>
        </w:rPr>
        <w:t>开挖回填边坡的拦挡、道路排水及裸露地表植被恢复的水土流失危害监测。各监测时段监测内容详见表2-</w:t>
      </w:r>
      <w:r>
        <w:rPr>
          <w:rFonts w:hint="eastAsia" w:ascii="Times New Roman" w:hAnsi="Times New Roman" w:eastAsia="仿宋_GB2312" w:cs="Times New Roman"/>
          <w:color w:val="auto"/>
          <w:spacing w:val="0"/>
          <w:sz w:val="24"/>
          <w:lang w:val="en-US" w:eastAsia="zh-CN"/>
        </w:rPr>
        <w:t>1</w:t>
      </w:r>
      <w:r>
        <w:rPr>
          <w:rFonts w:hint="default" w:ascii="Times New Roman" w:hAnsi="Times New Roman" w:eastAsia="仿宋_GB2312" w:cs="Times New Roman"/>
          <w:color w:val="auto"/>
          <w:spacing w:val="0"/>
          <w:sz w:val="24"/>
        </w:rPr>
        <w:t>。</w:t>
      </w:r>
    </w:p>
    <w:p>
      <w:pPr>
        <w:pStyle w:val="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表2-</w:t>
      </w:r>
      <w:r>
        <w:rPr>
          <w:rFonts w:hint="eastAsia" w:ascii="Times New Roman" w:hAnsi="Times New Roman" w:eastAsia="仿宋_GB2312" w:cs="Times New Roman"/>
          <w:color w:val="auto"/>
          <w:spacing w:val="0"/>
          <w:sz w:val="24"/>
          <w:lang w:val="en-US" w:eastAsia="zh-CN"/>
        </w:rPr>
        <w:t>1</w:t>
      </w:r>
      <w:r>
        <w:rPr>
          <w:rFonts w:hint="default" w:ascii="Times New Roman" w:hAnsi="Times New Roman" w:eastAsia="仿宋_GB2312" w:cs="Times New Roman"/>
          <w:color w:val="auto"/>
          <w:spacing w:val="0"/>
          <w:sz w:val="24"/>
        </w:rPr>
        <w:t xml:space="preserve">           项目各监测时段监测内容</w:t>
      </w:r>
    </w:p>
    <w:tbl>
      <w:tblPr>
        <w:tblStyle w:val="11"/>
        <w:tblW w:w="852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60"/>
        <w:gridCol w:w="709"/>
        <w:gridCol w:w="2400"/>
        <w:gridCol w:w="445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bookmarkStart w:id="82" w:name="_Toc433701509"/>
            <w:bookmarkStart w:id="83" w:name="_Toc430627078"/>
            <w:bookmarkStart w:id="84" w:name="_Toc359583373"/>
            <w:r>
              <w:rPr>
                <w:rFonts w:hint="default" w:ascii="Times New Roman" w:hAnsi="Times New Roman" w:eastAsia="仿宋_GB2312" w:cs="Times New Roman"/>
                <w:color w:val="auto"/>
                <w:spacing w:val="0"/>
                <w:sz w:val="24"/>
                <w:szCs w:val="21"/>
              </w:rPr>
              <w:t>监测时段</w:t>
            </w:r>
          </w:p>
        </w:tc>
        <w:tc>
          <w:tcPr>
            <w:tcW w:w="709"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监测分区</w:t>
            </w:r>
          </w:p>
        </w:tc>
        <w:tc>
          <w:tcPr>
            <w:tcW w:w="6853" w:type="dxa"/>
            <w:gridSpan w:val="2"/>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监测内容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restart"/>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施工期</w:t>
            </w:r>
          </w:p>
        </w:tc>
        <w:tc>
          <w:tcPr>
            <w:tcW w:w="709" w:type="dxa"/>
            <w:vMerge w:val="restart"/>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整个项目建设区</w:t>
            </w:r>
          </w:p>
        </w:tc>
        <w:tc>
          <w:tcPr>
            <w:tcW w:w="2400" w:type="dxa"/>
            <w:vMerge w:val="restart"/>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防治责任范围监测</w:t>
            </w: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复核项目建设区及直接影响区实际面积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项目建设期间防治责任范围变化情况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弃土弃渣动态监测</w:t>
            </w: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监测弃渣量、岩土类型、弃土弃渣堆放情况（面积、堆渣高度、坡长、坡度等）、防护措施进展情况及拦渣率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vMerge w:val="restart"/>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水土流失防治动态监测</w:t>
            </w: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土壤侵蚀类型及形式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水土流失面积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实施的水土保持措施数量及质量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水土保持措施完好性、运行情况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防治要求及管理措施实施情况监测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对周边河道及水利设施的影响情况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造成的其他水土流失危害</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vMerge w:val="restart"/>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施工期土壤流失量</w:t>
            </w:r>
          </w:p>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动态监测</w:t>
            </w: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项目建设过程中项目区的地形地貌、气象、土壤、植被、水文、社会经济因子进行调查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土壤侵蚀强度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土壤侵蚀模数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土壤侵蚀量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重大水土流失事件动态监测</w:t>
            </w: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及时反映重大水土流失事件，并上报监测管理机构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restart"/>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水土保持措施运行初期（林草植被恢复期）</w:t>
            </w:r>
          </w:p>
        </w:tc>
        <w:tc>
          <w:tcPr>
            <w:tcW w:w="709" w:type="dxa"/>
            <w:vMerge w:val="restart"/>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整个项目建设区</w:t>
            </w:r>
          </w:p>
        </w:tc>
        <w:tc>
          <w:tcPr>
            <w:tcW w:w="2400" w:type="dxa"/>
            <w:vMerge w:val="restart"/>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水土保持措施防治效果</w:t>
            </w: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实施的水土保持措施数量及质量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水土保持措施完好性、运行情况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林草的生长发育情况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各种已实施的措施的拦沙（渣）保土效果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防治目标监测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监督、管理措施的落实情况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restart"/>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临时占地区</w:t>
            </w:r>
          </w:p>
        </w:tc>
        <w:tc>
          <w:tcPr>
            <w:tcW w:w="2400"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土壤流失量动态监测</w:t>
            </w: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土壤侵蚀强度、土壤侵蚀模数及土壤侵蚀量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水土流失状况监测</w:t>
            </w: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对水土流失状况的监测实施情况及效果的监测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09"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2400"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水土保持措施防治效果</w:t>
            </w:r>
          </w:p>
        </w:tc>
        <w:tc>
          <w:tcPr>
            <w:tcW w:w="445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防治措施实施情况及效果的监测</w:t>
            </w:r>
          </w:p>
        </w:tc>
      </w:tr>
    </w:tbl>
    <w:p>
      <w:pPr>
        <w:pStyle w:val="3"/>
        <w:rPr>
          <w:rFonts w:hint="default"/>
          <w:color w:val="auto"/>
        </w:rPr>
      </w:pPr>
      <w:bookmarkStart w:id="85" w:name="_Toc5800"/>
      <w:r>
        <w:rPr>
          <w:rFonts w:hint="default"/>
          <w:color w:val="auto"/>
        </w:rPr>
        <w:t>2.2监测方法</w:t>
      </w:r>
      <w:bookmarkEnd w:id="82"/>
      <w:bookmarkEnd w:id="83"/>
      <w:bookmarkEnd w:id="84"/>
      <w:bookmarkEnd w:id="85"/>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本项目水土保持监测方法主要采用了调查监测、面积监测、现场巡查监测相结合的方法。</w:t>
      </w:r>
    </w:p>
    <w:p>
      <w:pPr>
        <w:pStyle w:val="4"/>
        <w:rPr>
          <w:rFonts w:hint="default"/>
          <w:color w:val="auto"/>
        </w:rPr>
      </w:pPr>
      <w:bookmarkStart w:id="86" w:name="_Toc430627079"/>
      <w:bookmarkStart w:id="87" w:name="_Toc359583374"/>
      <w:bookmarkStart w:id="88" w:name="_Toc281936235"/>
      <w:bookmarkStart w:id="89" w:name="_Toc267249637"/>
      <w:r>
        <w:rPr>
          <w:rFonts w:hint="default"/>
          <w:color w:val="auto"/>
        </w:rPr>
        <w:t>2.2.1调查监测</w:t>
      </w:r>
      <w:bookmarkEnd w:id="86"/>
      <w:bookmarkEnd w:id="87"/>
      <w:bookmarkEnd w:id="88"/>
      <w:bookmarkEnd w:id="89"/>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调查监测是指定期采取全面调查的方式，通过现场实地勘测，采用GPS定位仪结合地形图、数码相机、测距仪、尺子等工具，测定不同分区的的地表扰动类型和不同类型的面积。填表记录每个扰动类型区的基本特征（特别是堆渣）及水土保持措施（拦挡工程、护坡工程和土地整治工程等）实施情况。</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(1)面积监测</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面积监测主要通过收集项目资料及采用手持式GPS定位仪测定获取。首先对调查区按照扰动类型进行分区，如堆渣、开挖面等，然后利用GPS沿各分区边界走一圈，确定各个分区的面积。</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(2)植被监测</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植被监测主要是选取有代表性的地块作为标准地，标准地的面积为投影面积，要求乔木林20m×20m、灌木林5m×5m、草地2m×2m。分别取标准地进行观测并计算林地郁闭度、草地盖度和类型区林草覆盖度。植被监测主要是在运行期开展监测工作，针对整个项目的全部区域进行监测。</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(3)水土流失因子</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水土流失因子监测是在施工期和运行期开展监测工作。</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对于项目建设区的地形地貌因子、气象因子、植被因子、水文因子、原土地利用情况、社会因子及经济因子，在现场实地踏勘的基础上查阅相关资料、询问、对照《</w:t>
      </w:r>
      <w:r>
        <w:rPr>
          <w:rFonts w:hint="eastAsia" w:cs="Times New Roman"/>
          <w:color w:val="auto"/>
          <w:spacing w:val="0"/>
          <w:sz w:val="24"/>
          <w:lang w:eastAsia="zh-CN"/>
        </w:rPr>
        <w:t>G320线普安江西坡至三板桥段改扩建工程</w:t>
      </w:r>
      <w:r>
        <w:rPr>
          <w:rFonts w:hint="default" w:ascii="Times New Roman" w:hAnsi="Times New Roman" w:eastAsia="仿宋_GB2312" w:cs="Times New Roman"/>
          <w:color w:val="auto"/>
          <w:spacing w:val="0"/>
          <w:sz w:val="24"/>
        </w:rPr>
        <w:t>水土保持方案报告书》（报批稿）等形式获取。</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对于土壤因子的监测指标有：土壤类型、地面组成物质、土壤容重、土壤抗蚀性，具体监测方法如下：</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A 土壤类型及地面组成物质识别：监测工作鉴别土壤质地时常在野外进行，因此必须掌握一定的野外鉴别土壤质地的方法及标准.</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B 土壤含水率测定：用铝盒在剖面上取三个土样，带回室内称得湿土重，然后在105度烘箱中烘8小时至恒重，称得干土重，用下列公式计算土壤含水率。</w:t>
      </w:r>
    </w:p>
    <w:p>
      <w:pPr>
        <w:jc w:val="cente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position w:val="-26"/>
          <w:sz w:val="24"/>
        </w:rPr>
        <w:object>
          <v:shape id="_x0000_i1025" o:spt="75" type="#_x0000_t75" style="height:33pt;width:182pt;" o:ole="t" filled="f" o:preferrelative="t" stroked="f" coordsize="21600,21600">
            <v:path/>
            <v:fill on="f" focussize="0,0"/>
            <v:stroke on="f"/>
            <v:imagedata r:id="rId19" o:title=""/>
            <o:lock v:ext="edit" aspectratio="t"/>
            <w10:wrap type="none"/>
            <w10:anchorlock/>
          </v:shape>
          <o:OLEObject Type="Embed" ProgID="Equation.KSEE3" ShapeID="_x0000_i1025" DrawAspect="Content" ObjectID="_1468075725" r:id="rId18">
            <o:LockedField>false</o:LockedField>
          </o:OLEObject>
        </w:objec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C 孔隙度、容重测定：用环刀法在土壤剖面上取土，带回室内称重，在进行浸泡后，计算土壤的毛管孔隙度、非毛管孔隙度、总孔隙度、田间持水量和容重。</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D 土壤抗蚀性测定：土壤抗蚀性指单位面积上表土层抵抗水力冲刷的能力，值越大抵抗能力越强，值越小抵抗能力越弱。土壤抗性指标采用土壤袖珍剪力仪现场测定。</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水土流失因子监测中的地形地貌因子、气象因子、植被因子、水文因子、原土地利用情况、社会因子及经济因子是针对全区开展的；土壤因子的监测是根据实际需要，在项目的不同区域选取有代表性的土样进行测算，确定不同扰动类型下的土壤其土壤侵蚀强度及侵蚀量的关系。</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(4)水土流失防治动态监测</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水土流失防治动态监测主要是在施工期和运行期开展监测工作。</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A 水土流失状况监测：主要调查的监测指标为项目建设区内土壤侵蚀类型、形式及型式。对于土壤侵蚀类型及形式，采取现场识别的方式获取；土壤侵蚀强度根据实地踏勘，对照《土壤侵蚀分类分级标准》（SL190-2007）进行确定。</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B 水土保持措施防治效果：包括防治措施的数量与质量。本项目整个项目建设区水土保持措施的数量主要由业主及施工单位提供，项目的施工质量主要由监理单位确定。</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水土保持监测需要对监测重点地段或重点对象的防治措施项目量进行实地测量，对于质量问题主要由监理确定。</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C防护工程的稳定性、完好程度和运行情况：本项目的防护工程主要指</w:t>
      </w:r>
      <w:r>
        <w:rPr>
          <w:rFonts w:hint="eastAsia" w:ascii="Times New Roman" w:hAnsi="Times New Roman" w:eastAsia="仿宋_GB2312" w:cs="Times New Roman"/>
          <w:color w:val="auto"/>
          <w:spacing w:val="0"/>
          <w:sz w:val="24"/>
          <w:lang w:eastAsia="zh-CN"/>
        </w:rPr>
        <w:t>浆砌石挡墙</w:t>
      </w:r>
      <w:r>
        <w:rPr>
          <w:rFonts w:hint="default" w:ascii="Times New Roman" w:hAnsi="Times New Roman" w:eastAsia="仿宋_GB2312" w:cs="Times New Roman"/>
          <w:color w:val="auto"/>
          <w:spacing w:val="0"/>
          <w:sz w:val="24"/>
        </w:rPr>
        <w:t>、护坡、排水沟等工程，工程的施工质量主要由监理单位确定，监测时主要查看其是否存在损害或砼裂缝、挡墙断裂或沉降等不稳定情况出现，做出定性描述。</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D水土流失防治要求及水土保持管理措施实施情况监测：主要采用实地调查、问询、收集水土保持大事记、收集业主针对水土保持相关政策等方式获得。</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E林草植被恢复：包括水土流失状况监测和林草措施防治效果监测。</w:t>
      </w:r>
    </w:p>
    <w:p>
      <w:pPr>
        <w:pStyle w:val="4"/>
        <w:rPr>
          <w:rFonts w:hint="default"/>
          <w:color w:val="auto"/>
        </w:rPr>
      </w:pPr>
      <w:bookmarkStart w:id="90" w:name="_Toc267249638"/>
      <w:bookmarkStart w:id="91" w:name="_Toc430627080"/>
      <w:bookmarkStart w:id="92" w:name="_Toc281936236"/>
      <w:bookmarkStart w:id="93" w:name="_Toc359583375"/>
      <w:r>
        <w:rPr>
          <w:rFonts w:hint="default"/>
          <w:color w:val="auto"/>
        </w:rPr>
        <w:t>2.2.2面积监测</w:t>
      </w:r>
      <w:bookmarkEnd w:id="90"/>
      <w:bookmarkEnd w:id="91"/>
      <w:bookmarkEnd w:id="92"/>
      <w:bookmarkEnd w:id="93"/>
    </w:p>
    <w:p>
      <w:pPr>
        <w:rPr>
          <w:rFonts w:hint="default" w:ascii="Times New Roman" w:hAnsi="Times New Roman" w:eastAsia="仿宋_GB2312" w:cs="Times New Roman"/>
          <w:color w:val="auto"/>
          <w:spacing w:val="0"/>
          <w:sz w:val="24"/>
        </w:rPr>
      </w:pPr>
      <w:bookmarkStart w:id="94" w:name="_Toc359583377"/>
      <w:bookmarkStart w:id="95" w:name="_Toc267249640"/>
      <w:bookmarkStart w:id="96" w:name="_Toc281936238"/>
      <w:r>
        <w:rPr>
          <w:rFonts w:hint="default" w:ascii="Times New Roman" w:hAnsi="Times New Roman" w:eastAsia="仿宋_GB2312" w:cs="Times New Roman"/>
          <w:color w:val="auto"/>
          <w:spacing w:val="0"/>
          <w:sz w:val="24"/>
        </w:rPr>
        <w:t>一、项目建设区</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（1）永久占地</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永久占地是工程建设单位为工程建设永久征地区域，水土保持监测过程中复核工程建设是否在红线范围内施工。</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（2）临时占地</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复核临时占地使用情况及扰动面积情况，是否合法租用，租用后是否恢复原地貌状况及原土地使用功能状况。</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二、直接影响区</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直接影响区为工程建设过程中可能造成该区域水土流失的区域，监测过程主要复核工程建设影响工程周边环境水土流失状况。</w:t>
      </w:r>
    </w:p>
    <w:p>
      <w:pPr>
        <w:pStyle w:val="4"/>
        <w:rPr>
          <w:rFonts w:hint="default"/>
          <w:color w:val="auto"/>
        </w:rPr>
      </w:pPr>
      <w:bookmarkStart w:id="97" w:name="_Toc430627081"/>
      <w:r>
        <w:rPr>
          <w:rFonts w:hint="default"/>
          <w:color w:val="auto"/>
        </w:rPr>
        <w:t>2.2.3现场巡查</w:t>
      </w:r>
      <w:bookmarkEnd w:id="94"/>
      <w:bookmarkEnd w:id="95"/>
      <w:bookmarkEnd w:id="96"/>
      <w:r>
        <w:rPr>
          <w:rFonts w:hint="default"/>
          <w:color w:val="auto"/>
        </w:rPr>
        <w:t>监测</w:t>
      </w:r>
      <w:bookmarkEnd w:id="97"/>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现场巡查监测主要是项目运行期针对整个建设区所采用的监测方法，尤其注意对于直接影响区的影响情况。巡查的主要内容是水土流失危害和重大水土流失事件动态监测。</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(1)水土流失危害监测</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A 对周边河道影响情况：通过实地踏勘、走访群众等形式进行监测。</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B 对周边水利设施影响情况：通过实地踏勘、走访群众、询问水库管理人员等形式进行监测。</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C 其他水土流失危害：通过实地踏勘、问卷调查等形式进行监测。</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(2)重大水土流失事件监测</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根据项目实际情况结合水土流失状况，按照现场实际情况开展监测工作。</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监测内容统与监测方法详见表2-2。</w:t>
      </w:r>
    </w:p>
    <w:p>
      <w:pPr>
        <w:pStyle w:val="17"/>
        <w:rPr>
          <w:rFonts w:hint="default" w:ascii="Times New Roman" w:hAnsi="Times New Roman" w:eastAsia="仿宋_GB2312" w:cs="Times New Roman"/>
          <w:color w:val="auto"/>
          <w:spacing w:val="0"/>
        </w:rPr>
      </w:pPr>
      <w:r>
        <w:rPr>
          <w:rFonts w:hint="default"/>
          <w:color w:val="auto"/>
        </w:rPr>
        <w:t>表2-2          项目监测时段监测内容一览表</w:t>
      </w:r>
    </w:p>
    <w:tbl>
      <w:tblPr>
        <w:tblStyle w:val="11"/>
        <w:tblW w:w="9003"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68"/>
        <w:gridCol w:w="711"/>
        <w:gridCol w:w="1940"/>
        <w:gridCol w:w="3983"/>
        <w:gridCol w:w="140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8"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监测时段</w:t>
            </w:r>
          </w:p>
        </w:tc>
        <w:tc>
          <w:tcPr>
            <w:tcW w:w="711"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监测分区</w:t>
            </w:r>
          </w:p>
        </w:tc>
        <w:tc>
          <w:tcPr>
            <w:tcW w:w="5923" w:type="dxa"/>
            <w:gridSpan w:val="2"/>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监测内容</w:t>
            </w:r>
          </w:p>
        </w:tc>
        <w:tc>
          <w:tcPr>
            <w:tcW w:w="1401"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监测方法</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8" w:type="dxa"/>
            <w:vMerge w:val="restart"/>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施工期</w:t>
            </w:r>
          </w:p>
        </w:tc>
        <w:tc>
          <w:tcPr>
            <w:tcW w:w="711" w:type="dxa"/>
            <w:vMerge w:val="restart"/>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整个项目建设区</w:t>
            </w:r>
          </w:p>
        </w:tc>
        <w:tc>
          <w:tcPr>
            <w:tcW w:w="1940" w:type="dxa"/>
            <w:vMerge w:val="restart"/>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防治责任范围监测</w:t>
            </w:r>
          </w:p>
        </w:tc>
        <w:tc>
          <w:tcPr>
            <w:tcW w:w="398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复核项目建设区及直接影响区实际面积</w:t>
            </w:r>
          </w:p>
        </w:tc>
        <w:tc>
          <w:tcPr>
            <w:tcW w:w="1401"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调查监测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8"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11"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194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398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项目建设期间防治责任范围变化情况</w:t>
            </w:r>
          </w:p>
        </w:tc>
        <w:tc>
          <w:tcPr>
            <w:tcW w:w="1401"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调查监测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8"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11"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1940"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弃土弃渣动态监测</w:t>
            </w:r>
          </w:p>
        </w:tc>
        <w:tc>
          <w:tcPr>
            <w:tcW w:w="398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监测弃渣量、岩土类型、弃土弃渣堆放情况（面积、堆渣高度、坡长、坡度等）、防护措施进展情况及拦渣率）</w:t>
            </w:r>
          </w:p>
        </w:tc>
        <w:tc>
          <w:tcPr>
            <w:tcW w:w="1401"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调查监测、巡查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8"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11"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1940" w:type="dxa"/>
            <w:vMerge w:val="restart"/>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水土流失防治动态监测</w:t>
            </w:r>
          </w:p>
        </w:tc>
        <w:tc>
          <w:tcPr>
            <w:tcW w:w="398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土壤侵蚀类型及形式</w:t>
            </w:r>
          </w:p>
        </w:tc>
        <w:tc>
          <w:tcPr>
            <w:tcW w:w="1401"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调查监测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8"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11"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194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398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水土流失面积</w:t>
            </w:r>
          </w:p>
        </w:tc>
        <w:tc>
          <w:tcPr>
            <w:tcW w:w="1401"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调查监测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8"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11"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194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398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实施的水土保持措施数量及质量</w:t>
            </w:r>
          </w:p>
        </w:tc>
        <w:tc>
          <w:tcPr>
            <w:tcW w:w="1401"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调查监测、巡查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8"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11"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194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398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水土保持措施完好性、运行情况</w:t>
            </w:r>
          </w:p>
        </w:tc>
        <w:tc>
          <w:tcPr>
            <w:tcW w:w="1401"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调查监测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8"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11"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194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398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防治要求及管理措施实施情况监测</w:t>
            </w:r>
          </w:p>
        </w:tc>
        <w:tc>
          <w:tcPr>
            <w:tcW w:w="1401"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调查监测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8"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11"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194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398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对周边河道及水利设施的影响情况</w:t>
            </w:r>
          </w:p>
        </w:tc>
        <w:tc>
          <w:tcPr>
            <w:tcW w:w="1401"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调查监测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8"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11"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194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398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造成的其他水土流失危害</w:t>
            </w:r>
          </w:p>
        </w:tc>
        <w:tc>
          <w:tcPr>
            <w:tcW w:w="1401"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调查监测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8"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11"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1940" w:type="dxa"/>
            <w:vMerge w:val="restart"/>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施工期土壤流失量</w:t>
            </w:r>
          </w:p>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动态监测</w:t>
            </w:r>
          </w:p>
        </w:tc>
        <w:tc>
          <w:tcPr>
            <w:tcW w:w="398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项目建设过程中项目区的地形地貌、气象、土壤、植被、水文、社会经济因子进行调查</w:t>
            </w:r>
          </w:p>
        </w:tc>
        <w:tc>
          <w:tcPr>
            <w:tcW w:w="1401"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调查监测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8"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11"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194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398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土壤侵蚀强度</w:t>
            </w:r>
          </w:p>
        </w:tc>
        <w:tc>
          <w:tcPr>
            <w:tcW w:w="1401"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调查监测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8"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11"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194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398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土壤侵蚀模数</w:t>
            </w:r>
          </w:p>
        </w:tc>
        <w:tc>
          <w:tcPr>
            <w:tcW w:w="1401"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调查监测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8"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11"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1940"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398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土壤侵蚀量</w:t>
            </w:r>
          </w:p>
        </w:tc>
        <w:tc>
          <w:tcPr>
            <w:tcW w:w="1401"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调查监测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8"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711" w:type="dxa"/>
            <w:vMerge w:val="continue"/>
            <w:tcBorders>
              <w:tl2br w:val="nil"/>
              <w:tr2bl w:val="nil"/>
            </w:tcBorders>
            <w:vAlign w:val="center"/>
          </w:tcPr>
          <w:p>
            <w:pPr>
              <w:pStyle w:val="16"/>
              <w:rPr>
                <w:rFonts w:hint="default" w:ascii="Times New Roman" w:hAnsi="Times New Roman" w:eastAsia="仿宋_GB2312" w:cs="Times New Roman"/>
                <w:color w:val="auto"/>
                <w:spacing w:val="0"/>
                <w:sz w:val="24"/>
                <w:szCs w:val="21"/>
              </w:rPr>
            </w:pPr>
          </w:p>
        </w:tc>
        <w:tc>
          <w:tcPr>
            <w:tcW w:w="1940"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重大水土流失事件动态监测</w:t>
            </w:r>
          </w:p>
        </w:tc>
        <w:tc>
          <w:tcPr>
            <w:tcW w:w="398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及时反映重大水土流失事件，并上报监测管理机构</w:t>
            </w:r>
          </w:p>
        </w:tc>
        <w:tc>
          <w:tcPr>
            <w:tcW w:w="1401"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调查监测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968"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林草植被恢复期</w:t>
            </w:r>
          </w:p>
        </w:tc>
        <w:tc>
          <w:tcPr>
            <w:tcW w:w="711"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整个项目建设区</w:t>
            </w:r>
          </w:p>
        </w:tc>
        <w:tc>
          <w:tcPr>
            <w:tcW w:w="1940"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水土保持措施防治效果</w:t>
            </w:r>
          </w:p>
        </w:tc>
        <w:tc>
          <w:tcPr>
            <w:tcW w:w="3983"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实施的水土保持措施数量及质量</w:t>
            </w:r>
          </w:p>
        </w:tc>
        <w:tc>
          <w:tcPr>
            <w:tcW w:w="1401" w:type="dxa"/>
            <w:tcBorders>
              <w:tl2br w:val="nil"/>
              <w:tr2bl w:val="nil"/>
            </w:tcBorders>
            <w:vAlign w:val="center"/>
          </w:tcPr>
          <w:p>
            <w:pPr>
              <w:pStyle w:val="16"/>
              <w:rPr>
                <w:rFonts w:hint="default" w:ascii="Times New Roman" w:hAnsi="Times New Roman" w:eastAsia="仿宋_GB2312" w:cs="Times New Roman"/>
                <w:color w:val="auto"/>
                <w:spacing w:val="0"/>
                <w:sz w:val="24"/>
                <w:szCs w:val="21"/>
              </w:rPr>
            </w:pPr>
            <w:r>
              <w:rPr>
                <w:rFonts w:hint="default" w:ascii="Times New Roman" w:hAnsi="Times New Roman" w:eastAsia="仿宋_GB2312" w:cs="Times New Roman"/>
                <w:color w:val="auto"/>
                <w:spacing w:val="0"/>
                <w:sz w:val="24"/>
                <w:szCs w:val="21"/>
              </w:rPr>
              <w:t>调查监测</w:t>
            </w:r>
          </w:p>
        </w:tc>
      </w:tr>
    </w:tbl>
    <w:p>
      <w:pPr>
        <w:rPr>
          <w:rFonts w:hint="default" w:ascii="Times New Roman" w:hAnsi="Times New Roman" w:eastAsia="仿宋_GB2312" w:cs="Times New Roman"/>
          <w:color w:val="auto"/>
          <w:spacing w:val="0"/>
          <w:sz w:val="24"/>
        </w:rPr>
      </w:pPr>
    </w:p>
    <w:p>
      <w:pPr>
        <w:pStyle w:val="3"/>
        <w:rPr>
          <w:rFonts w:hint="default"/>
          <w:color w:val="auto"/>
        </w:rPr>
      </w:pPr>
      <w:bookmarkStart w:id="98" w:name="_Toc20692"/>
      <w:r>
        <w:rPr>
          <w:rFonts w:hint="default"/>
          <w:color w:val="auto"/>
        </w:rPr>
        <w:t>2.3监测过程</w:t>
      </w:r>
      <w:bookmarkEnd w:id="98"/>
    </w:p>
    <w:bookmarkEnd w:id="58"/>
    <w:bookmarkEnd w:id="59"/>
    <w:bookmarkEnd w:id="60"/>
    <w:p>
      <w:pPr>
        <w:rPr>
          <w:color w:val="auto"/>
          <w:w w:val="95"/>
        </w:rPr>
      </w:pPr>
      <w:r>
        <w:rPr>
          <w:rFonts w:hint="default" w:ascii="Times New Roman" w:hAnsi="Times New Roman" w:eastAsia="仿宋_GB2312" w:cs="Times New Roman"/>
          <w:color w:val="auto"/>
          <w:spacing w:val="0"/>
          <w:sz w:val="24"/>
        </w:rPr>
        <w:t>根据《中华人民共和国水土保持法》、《关于规范生产建设项目水土保持监测工作的意见》（水保</w:t>
      </w:r>
      <w:r>
        <w:rPr>
          <w:rFonts w:hint="eastAsia" w:cs="Times New Roman"/>
          <w:color w:val="auto"/>
          <w:spacing w:val="0"/>
          <w:sz w:val="24"/>
          <w:lang w:eastAsia="zh-CN"/>
        </w:rPr>
        <w:t>〔</w:t>
      </w:r>
      <w:r>
        <w:rPr>
          <w:rFonts w:hint="default" w:ascii="Times New Roman" w:hAnsi="Times New Roman" w:eastAsia="仿宋_GB2312" w:cs="Times New Roman"/>
          <w:color w:val="auto"/>
          <w:spacing w:val="0"/>
          <w:sz w:val="24"/>
        </w:rPr>
        <w:t>2009</w:t>
      </w:r>
      <w:r>
        <w:rPr>
          <w:rFonts w:hint="eastAsia" w:cs="Times New Roman"/>
          <w:color w:val="auto"/>
          <w:spacing w:val="0"/>
          <w:sz w:val="24"/>
          <w:lang w:eastAsia="zh-CN"/>
        </w:rPr>
        <w:t>〕</w:t>
      </w:r>
      <w:r>
        <w:rPr>
          <w:rFonts w:hint="default" w:ascii="Times New Roman" w:hAnsi="Times New Roman" w:eastAsia="仿宋_GB2312" w:cs="Times New Roman"/>
          <w:color w:val="auto"/>
          <w:spacing w:val="0"/>
          <w:sz w:val="24"/>
        </w:rPr>
        <w:t>187号）及《水利部办公厅关于印发生产建设项目水土保持监测规程的通知》（办水保</w:t>
      </w:r>
      <w:r>
        <w:rPr>
          <w:rFonts w:hint="eastAsia" w:cs="Times New Roman"/>
          <w:color w:val="auto"/>
          <w:spacing w:val="0"/>
          <w:sz w:val="24"/>
          <w:lang w:eastAsia="zh-CN"/>
        </w:rPr>
        <w:t>〔</w:t>
      </w:r>
      <w:r>
        <w:rPr>
          <w:rFonts w:hint="default" w:ascii="Times New Roman" w:hAnsi="Times New Roman" w:eastAsia="仿宋_GB2312" w:cs="Times New Roman"/>
          <w:color w:val="auto"/>
          <w:spacing w:val="0"/>
          <w:sz w:val="24"/>
        </w:rPr>
        <w:t>2015</w:t>
      </w:r>
      <w:r>
        <w:rPr>
          <w:rFonts w:hint="eastAsia" w:cs="Times New Roman"/>
          <w:color w:val="auto"/>
          <w:spacing w:val="0"/>
          <w:sz w:val="24"/>
          <w:lang w:eastAsia="zh-CN"/>
        </w:rPr>
        <w:t>〕</w:t>
      </w:r>
      <w:r>
        <w:rPr>
          <w:rFonts w:hint="default" w:ascii="Times New Roman" w:hAnsi="Times New Roman" w:eastAsia="仿宋_GB2312" w:cs="Times New Roman"/>
          <w:color w:val="auto"/>
          <w:spacing w:val="0"/>
          <w:sz w:val="24"/>
        </w:rPr>
        <w:t>139），《生产建设项目水土保持监测单位水平评价管理办法（试行）》（中水会字</w:t>
      </w:r>
      <w:r>
        <w:rPr>
          <w:rFonts w:hint="eastAsia" w:cs="Times New Roman"/>
          <w:color w:val="auto"/>
          <w:spacing w:val="0"/>
          <w:sz w:val="24"/>
          <w:lang w:eastAsia="zh-CN"/>
        </w:rPr>
        <w:t>〔</w:t>
      </w:r>
      <w:r>
        <w:rPr>
          <w:rFonts w:hint="default" w:ascii="Times New Roman" w:hAnsi="Times New Roman" w:eastAsia="仿宋_GB2312" w:cs="Times New Roman"/>
          <w:color w:val="auto"/>
          <w:spacing w:val="0"/>
          <w:sz w:val="24"/>
        </w:rPr>
        <w:t>2015</w:t>
      </w:r>
      <w:r>
        <w:rPr>
          <w:rFonts w:hint="eastAsia" w:cs="Times New Roman"/>
          <w:color w:val="auto"/>
          <w:spacing w:val="0"/>
          <w:sz w:val="24"/>
          <w:lang w:eastAsia="zh-CN"/>
        </w:rPr>
        <w:t>〕</w:t>
      </w:r>
      <w:r>
        <w:rPr>
          <w:rFonts w:hint="default" w:ascii="Times New Roman" w:hAnsi="Times New Roman" w:eastAsia="仿宋_GB2312" w:cs="Times New Roman"/>
          <w:color w:val="auto"/>
          <w:spacing w:val="0"/>
          <w:sz w:val="24"/>
        </w:rPr>
        <w:t>第004号），</w:t>
      </w:r>
      <w:r>
        <w:rPr>
          <w:rFonts w:hint="default" w:ascii="Times New Roman" w:hAnsi="Times New Roman" w:eastAsia="仿宋_GB2312" w:cs="Times New Roman"/>
          <w:color w:val="auto"/>
          <w:spacing w:val="0"/>
          <w:sz w:val="24"/>
          <w:szCs w:val="28"/>
        </w:rPr>
        <w:t>201</w:t>
      </w:r>
      <w:r>
        <w:rPr>
          <w:rFonts w:hint="eastAsia" w:cs="Times New Roman"/>
          <w:color w:val="auto"/>
          <w:spacing w:val="0"/>
          <w:sz w:val="24"/>
          <w:szCs w:val="28"/>
          <w:lang w:val="en-US" w:eastAsia="zh-CN"/>
        </w:rPr>
        <w:t>8</w:t>
      </w:r>
      <w:r>
        <w:rPr>
          <w:rFonts w:hint="default" w:ascii="Times New Roman" w:hAnsi="Times New Roman" w:eastAsia="仿宋_GB2312" w:cs="Times New Roman"/>
          <w:color w:val="auto"/>
          <w:spacing w:val="0"/>
          <w:sz w:val="24"/>
          <w:szCs w:val="28"/>
        </w:rPr>
        <w:t>年</w:t>
      </w:r>
      <w:r>
        <w:rPr>
          <w:rFonts w:hint="eastAsia" w:cs="Times New Roman"/>
          <w:color w:val="auto"/>
          <w:spacing w:val="0"/>
          <w:sz w:val="24"/>
          <w:szCs w:val="28"/>
          <w:lang w:val="en-US" w:eastAsia="zh-CN"/>
        </w:rPr>
        <w:t>6</w:t>
      </w:r>
      <w:r>
        <w:rPr>
          <w:rFonts w:hint="default" w:ascii="Times New Roman" w:hAnsi="Times New Roman" w:eastAsia="仿宋_GB2312" w:cs="Times New Roman"/>
          <w:color w:val="auto"/>
          <w:spacing w:val="0"/>
          <w:sz w:val="24"/>
          <w:szCs w:val="28"/>
        </w:rPr>
        <w:t>月</w:t>
      </w:r>
      <w:r>
        <w:rPr>
          <w:rFonts w:hint="eastAsia" w:cs="Times New Roman"/>
          <w:color w:val="auto"/>
          <w:spacing w:val="0"/>
          <w:sz w:val="24"/>
          <w:szCs w:val="28"/>
          <w:lang w:eastAsia="zh-CN"/>
        </w:rPr>
        <w:t>普安县交通运输局</w:t>
      </w:r>
      <w:r>
        <w:rPr>
          <w:rFonts w:hint="default" w:ascii="Times New Roman" w:hAnsi="Times New Roman" w:eastAsia="仿宋_GB2312" w:cs="Times New Roman"/>
          <w:color w:val="auto"/>
          <w:spacing w:val="0"/>
          <w:sz w:val="24"/>
          <w:szCs w:val="28"/>
        </w:rPr>
        <w:t>委托</w:t>
      </w:r>
      <w:r>
        <w:rPr>
          <w:rFonts w:hint="eastAsia" w:cs="Times New Roman"/>
          <w:color w:val="auto"/>
          <w:spacing w:val="0"/>
          <w:sz w:val="24"/>
          <w:szCs w:val="28"/>
          <w:lang w:eastAsia="zh-CN"/>
        </w:rPr>
        <w:t>贵州天保生态股份有限公司</w:t>
      </w:r>
      <w:r>
        <w:rPr>
          <w:rFonts w:hint="default" w:ascii="Times New Roman" w:hAnsi="Times New Roman" w:eastAsia="仿宋_GB2312" w:cs="Times New Roman"/>
          <w:color w:val="auto"/>
          <w:spacing w:val="0"/>
          <w:sz w:val="24"/>
          <w:szCs w:val="28"/>
        </w:rPr>
        <w:t>承担</w:t>
      </w:r>
      <w:r>
        <w:rPr>
          <w:rFonts w:hint="eastAsia" w:cs="Times New Roman"/>
          <w:color w:val="auto"/>
          <w:spacing w:val="0"/>
          <w:sz w:val="24"/>
          <w:szCs w:val="28"/>
          <w:lang w:eastAsia="zh-CN"/>
        </w:rPr>
        <w:t>G320线普安江西坡至三板桥段改扩建工程</w:t>
      </w:r>
      <w:r>
        <w:rPr>
          <w:rFonts w:hint="default" w:ascii="Times New Roman" w:hAnsi="Times New Roman" w:eastAsia="仿宋_GB2312" w:cs="Times New Roman"/>
          <w:color w:val="auto"/>
          <w:spacing w:val="0"/>
          <w:sz w:val="24"/>
          <w:szCs w:val="28"/>
        </w:rPr>
        <w:t>的水土保持监测工作，接受委托后，我单位成立了</w:t>
      </w:r>
      <w:r>
        <w:rPr>
          <w:rFonts w:hint="eastAsia" w:cs="Times New Roman"/>
          <w:color w:val="auto"/>
          <w:spacing w:val="0"/>
          <w:sz w:val="24"/>
          <w:szCs w:val="28"/>
          <w:lang w:eastAsia="zh-CN"/>
        </w:rPr>
        <w:t>G320线普安江西坡至三板桥段改扩建工程</w:t>
      </w:r>
      <w:r>
        <w:rPr>
          <w:rFonts w:hint="default" w:ascii="Times New Roman" w:hAnsi="Times New Roman" w:eastAsia="仿宋_GB2312" w:cs="Times New Roman"/>
          <w:color w:val="auto"/>
          <w:spacing w:val="0"/>
          <w:sz w:val="24"/>
          <w:szCs w:val="28"/>
        </w:rPr>
        <w:t>水土保持监测项目小组，并制定了监测工作计划。小组成员共包括</w:t>
      </w:r>
      <w:r>
        <w:rPr>
          <w:rFonts w:hint="eastAsia" w:ascii="Times New Roman" w:hAnsi="Times New Roman" w:cs="Times New Roman"/>
          <w:color w:val="auto"/>
          <w:spacing w:val="0"/>
          <w:sz w:val="24"/>
          <w:szCs w:val="28"/>
          <w:lang w:val="en-US" w:eastAsia="zh-CN"/>
        </w:rPr>
        <w:t>8</w:t>
      </w:r>
      <w:r>
        <w:rPr>
          <w:rFonts w:hint="default" w:ascii="Times New Roman" w:hAnsi="Times New Roman" w:eastAsia="仿宋_GB2312" w:cs="Times New Roman"/>
          <w:color w:val="auto"/>
          <w:spacing w:val="0"/>
          <w:sz w:val="24"/>
          <w:szCs w:val="28"/>
        </w:rPr>
        <w:t xml:space="preserve"> 名管理技术人员，涉及水土保持、水工、农业水利工程、水文与水资源、林学、环境科学及地理科学等相关专业。按照监测工作计划，20</w:t>
      </w:r>
      <w:r>
        <w:rPr>
          <w:rFonts w:hint="eastAsia" w:ascii="Times New Roman" w:hAnsi="Times New Roman" w:cs="Times New Roman"/>
          <w:color w:val="auto"/>
          <w:spacing w:val="0"/>
          <w:sz w:val="24"/>
          <w:szCs w:val="28"/>
          <w:lang w:val="en-US" w:eastAsia="zh-CN"/>
        </w:rPr>
        <w:t>18</w:t>
      </w:r>
      <w:r>
        <w:rPr>
          <w:rFonts w:hint="default" w:ascii="Times New Roman" w:hAnsi="Times New Roman" w:eastAsia="仿宋_GB2312" w:cs="Times New Roman"/>
          <w:color w:val="auto"/>
          <w:spacing w:val="0"/>
          <w:sz w:val="24"/>
          <w:szCs w:val="28"/>
        </w:rPr>
        <w:t>年</w:t>
      </w:r>
      <w:r>
        <w:rPr>
          <w:rFonts w:hint="eastAsia" w:cs="Times New Roman"/>
          <w:color w:val="auto"/>
          <w:spacing w:val="0"/>
          <w:sz w:val="24"/>
          <w:szCs w:val="28"/>
          <w:lang w:val="en-US" w:eastAsia="zh-CN"/>
        </w:rPr>
        <w:t>6</w:t>
      </w:r>
      <w:r>
        <w:rPr>
          <w:rFonts w:hint="default" w:ascii="Times New Roman" w:hAnsi="Times New Roman" w:eastAsia="仿宋_GB2312" w:cs="Times New Roman"/>
          <w:color w:val="auto"/>
          <w:spacing w:val="0"/>
          <w:sz w:val="24"/>
          <w:szCs w:val="28"/>
        </w:rPr>
        <w:t>月，我单位组织相关监测技术人员对项目建设区进行了全面的现场踏勘，并收集了大量的相关资料。通过对收集的数据、资料的整理、分析、总结，并结合工程建设实际情况，依据相关水土保持监测技术规范，编制完成了《</w:t>
      </w:r>
      <w:r>
        <w:rPr>
          <w:rFonts w:hint="eastAsia" w:cs="Times New Roman"/>
          <w:color w:val="auto"/>
          <w:spacing w:val="0"/>
          <w:sz w:val="24"/>
          <w:szCs w:val="28"/>
          <w:lang w:eastAsia="zh-CN"/>
        </w:rPr>
        <w:t>G320线普安江西坡至三板桥段改扩建工程</w:t>
      </w:r>
      <w:r>
        <w:rPr>
          <w:rFonts w:hint="default" w:ascii="Times New Roman" w:hAnsi="Times New Roman" w:eastAsia="仿宋_GB2312" w:cs="Times New Roman"/>
          <w:color w:val="auto"/>
          <w:spacing w:val="0"/>
          <w:sz w:val="24"/>
          <w:szCs w:val="28"/>
        </w:rPr>
        <w:t>水土保持监测实施方案》。本项目采用地面定位观测及调查监测相结合的监测技术体系，对项目建设区内的主体工程建设进度、工程建设扰动地表面积、水土流失灾害隐患、水土流失及造成的危害、水土保持工程建设情况、水土流失防治效果、水土保持工程设计及水土保持管理等开展监测。</w:t>
      </w:r>
      <w:r>
        <w:rPr>
          <w:color w:val="auto"/>
          <w:spacing w:val="-4"/>
          <w:vertAlign w:val="baseline"/>
        </w:rPr>
        <w:t>按照拟定的监测工作实施方案，分别于201</w:t>
      </w:r>
      <w:r>
        <w:rPr>
          <w:rFonts w:hint="eastAsia"/>
          <w:color w:val="auto"/>
          <w:spacing w:val="-4"/>
          <w:vertAlign w:val="baseline"/>
          <w:lang w:val="en-US" w:eastAsia="zh-CN"/>
        </w:rPr>
        <w:t>8</w:t>
      </w:r>
      <w:r>
        <w:rPr>
          <w:color w:val="auto"/>
          <w:spacing w:val="-4"/>
          <w:vertAlign w:val="baseline"/>
        </w:rPr>
        <w:t>年</w:t>
      </w:r>
      <w:r>
        <w:rPr>
          <w:rFonts w:hint="eastAsia"/>
          <w:color w:val="auto"/>
          <w:spacing w:val="-4"/>
          <w:vertAlign w:val="baseline"/>
          <w:lang w:val="en-US" w:eastAsia="zh-CN"/>
        </w:rPr>
        <w:t>6</w:t>
      </w:r>
      <w:r>
        <w:rPr>
          <w:color w:val="auto"/>
          <w:spacing w:val="-4"/>
          <w:vertAlign w:val="baseline"/>
        </w:rPr>
        <w:t>月、</w:t>
      </w:r>
      <w:r>
        <w:rPr>
          <w:rFonts w:hint="eastAsia"/>
          <w:color w:val="auto"/>
          <w:spacing w:val="-4"/>
          <w:vertAlign w:val="baseline"/>
          <w:lang w:val="en-US" w:eastAsia="zh-CN"/>
        </w:rPr>
        <w:t>9</w:t>
      </w:r>
      <w:r>
        <w:rPr>
          <w:color w:val="auto"/>
          <w:spacing w:val="-4"/>
          <w:vertAlign w:val="baseline"/>
        </w:rPr>
        <w:t>月、12月，201</w:t>
      </w:r>
      <w:r>
        <w:rPr>
          <w:rFonts w:hint="eastAsia"/>
          <w:color w:val="auto"/>
          <w:spacing w:val="-4"/>
          <w:vertAlign w:val="baseline"/>
          <w:lang w:val="en-US" w:eastAsia="zh-CN"/>
        </w:rPr>
        <w:t>9</w:t>
      </w:r>
      <w:r>
        <w:rPr>
          <w:color w:val="auto"/>
          <w:spacing w:val="-4"/>
          <w:vertAlign w:val="baseline"/>
        </w:rPr>
        <w:t>年</w:t>
      </w:r>
      <w:r>
        <w:rPr>
          <w:rFonts w:hint="eastAsia"/>
          <w:color w:val="auto"/>
          <w:spacing w:val="-4"/>
          <w:vertAlign w:val="baseline"/>
          <w:lang w:val="en-US" w:eastAsia="zh-CN"/>
        </w:rPr>
        <w:t>3</w:t>
      </w:r>
      <w:r>
        <w:rPr>
          <w:color w:val="auto"/>
          <w:spacing w:val="-4"/>
          <w:vertAlign w:val="baseline"/>
        </w:rPr>
        <w:t>月、6月、9月、12月，</w:t>
      </w:r>
      <w:r>
        <w:rPr>
          <w:rFonts w:hint="eastAsia"/>
          <w:color w:val="auto"/>
          <w:spacing w:val="-4"/>
          <w:vertAlign w:val="baseline"/>
          <w:lang w:val="en-US" w:eastAsia="zh-CN"/>
        </w:rPr>
        <w:t>2020年3月、6月、9月</w:t>
      </w:r>
      <w:r>
        <w:rPr>
          <w:color w:val="auto"/>
          <w:spacing w:val="-4"/>
          <w:vertAlign w:val="baseline"/>
        </w:rPr>
        <w:t xml:space="preserve">共 </w:t>
      </w:r>
      <w:r>
        <w:rPr>
          <w:rFonts w:hint="eastAsia"/>
          <w:color w:val="auto"/>
          <w:spacing w:val="-4"/>
          <w:vertAlign w:val="baseline"/>
          <w:lang w:val="en-US" w:eastAsia="zh-CN"/>
        </w:rPr>
        <w:t>10</w:t>
      </w:r>
      <w:r>
        <w:rPr>
          <w:color w:val="auto"/>
          <w:spacing w:val="-4"/>
          <w:vertAlign w:val="baseline"/>
        </w:rPr>
        <w:t>余次对项目建设区开展了水土保持监测调查，先后按时逐季编制完成了201</w:t>
      </w:r>
      <w:r>
        <w:rPr>
          <w:rFonts w:hint="eastAsia"/>
          <w:color w:val="auto"/>
          <w:spacing w:val="-4"/>
          <w:vertAlign w:val="baseline"/>
          <w:lang w:val="en-US" w:eastAsia="zh-CN"/>
        </w:rPr>
        <w:t>8</w:t>
      </w:r>
      <w:r>
        <w:rPr>
          <w:color w:val="auto"/>
          <w:spacing w:val="-4"/>
          <w:vertAlign w:val="baseline"/>
        </w:rPr>
        <w:t>年第二、第三、第四季度，201</w:t>
      </w:r>
      <w:r>
        <w:rPr>
          <w:rFonts w:hint="eastAsia"/>
          <w:color w:val="auto"/>
          <w:spacing w:val="-4"/>
          <w:vertAlign w:val="baseline"/>
          <w:lang w:val="en-US" w:eastAsia="zh-CN"/>
        </w:rPr>
        <w:t>9</w:t>
      </w:r>
      <w:r>
        <w:rPr>
          <w:color w:val="auto"/>
          <w:spacing w:val="-4"/>
          <w:vertAlign w:val="baseline"/>
        </w:rPr>
        <w:t>年第一、第二、第三、第四季度</w:t>
      </w:r>
      <w:r>
        <w:rPr>
          <w:rFonts w:hint="eastAsia"/>
          <w:color w:val="auto"/>
          <w:spacing w:val="-4"/>
          <w:vertAlign w:val="baseline"/>
          <w:lang w:eastAsia="zh-CN"/>
        </w:rPr>
        <w:t>，</w:t>
      </w:r>
      <w:r>
        <w:rPr>
          <w:color w:val="auto"/>
          <w:spacing w:val="-4"/>
          <w:vertAlign w:val="baseline"/>
        </w:rPr>
        <w:t>20</w:t>
      </w:r>
      <w:r>
        <w:rPr>
          <w:rFonts w:hint="eastAsia"/>
          <w:color w:val="auto"/>
          <w:spacing w:val="-4"/>
          <w:vertAlign w:val="baseline"/>
          <w:lang w:val="en-US" w:eastAsia="zh-CN"/>
        </w:rPr>
        <w:t>20</w:t>
      </w:r>
      <w:r>
        <w:rPr>
          <w:color w:val="auto"/>
          <w:spacing w:val="-4"/>
          <w:vertAlign w:val="baseline"/>
        </w:rPr>
        <w:t>年第一、第二、第三季度水土保持监测季度报告表及水土保持监测工作开展情况总结等监测成果资料</w:t>
      </w:r>
      <w:r>
        <w:rPr>
          <w:rFonts w:hint="eastAsia"/>
          <w:color w:val="auto"/>
          <w:spacing w:val="-4"/>
          <w:vertAlign w:val="baseline"/>
          <w:lang w:val="en-US" w:eastAsia="zh-CN"/>
        </w:rPr>
        <w:t>10</w:t>
      </w:r>
      <w:r>
        <w:rPr>
          <w:color w:val="auto"/>
          <w:spacing w:val="-4"/>
          <w:vertAlign w:val="baseline"/>
        </w:rPr>
        <w:t>套。自开展水土保持监测工作以来，项目监测技术人员共对项目建设区共进行了</w:t>
      </w:r>
      <w:r>
        <w:rPr>
          <w:rFonts w:hint="eastAsia"/>
          <w:color w:val="auto"/>
          <w:spacing w:val="-4"/>
          <w:vertAlign w:val="baseline"/>
          <w:lang w:val="en-US" w:eastAsia="zh-CN"/>
        </w:rPr>
        <w:t>10</w:t>
      </w:r>
      <w:r>
        <w:rPr>
          <w:color w:val="auto"/>
          <w:spacing w:val="-4"/>
          <w:vertAlign w:val="baseline"/>
        </w:rPr>
        <w:t>余次全面的现场踏勘，期间在项目建设区内布置了调查观测样点</w:t>
      </w:r>
      <w:r>
        <w:rPr>
          <w:rFonts w:hint="eastAsia"/>
          <w:color w:val="auto"/>
          <w:spacing w:val="-4"/>
          <w:vertAlign w:val="baseline"/>
          <w:lang w:val="en-US" w:eastAsia="zh-CN"/>
        </w:rPr>
        <w:t>10</w:t>
      </w:r>
      <w:r>
        <w:rPr>
          <w:color w:val="auto"/>
          <w:spacing w:val="-4"/>
          <w:vertAlign w:val="baseline"/>
        </w:rPr>
        <w:t>余处，先后按时编制完成的水土保持监测成果资料</w:t>
      </w:r>
      <w:r>
        <w:rPr>
          <w:color w:val="auto"/>
          <w:spacing w:val="-26"/>
        </w:rPr>
        <w:t>共计</w:t>
      </w:r>
      <w:r>
        <w:rPr>
          <w:rFonts w:hint="eastAsia"/>
          <w:color w:val="auto"/>
          <w:spacing w:val="-26"/>
          <w:lang w:val="en-US" w:eastAsia="zh-CN"/>
        </w:rPr>
        <w:t>10</w:t>
      </w:r>
      <w:r>
        <w:rPr>
          <w:color w:val="auto"/>
          <w:spacing w:val="5"/>
        </w:rPr>
        <w:t>套。</w:t>
      </w:r>
      <w:r>
        <w:rPr>
          <w:rFonts w:ascii="Times New Roman" w:eastAsia="Times New Roman"/>
          <w:color w:val="auto"/>
        </w:rPr>
        <w:t>20</w:t>
      </w:r>
      <w:r>
        <w:rPr>
          <w:rFonts w:hint="eastAsia" w:ascii="Times New Roman" w:eastAsia="宋体"/>
          <w:color w:val="auto"/>
          <w:lang w:val="en-US" w:eastAsia="zh-CN"/>
        </w:rPr>
        <w:t>20</w:t>
      </w:r>
      <w:r>
        <w:rPr>
          <w:color w:val="auto"/>
          <w:spacing w:val="-40"/>
        </w:rPr>
        <w:t xml:space="preserve">年 </w:t>
      </w:r>
      <w:r>
        <w:rPr>
          <w:rFonts w:hint="eastAsia"/>
          <w:color w:val="auto"/>
          <w:spacing w:val="-40"/>
          <w:lang w:val="en-US" w:eastAsia="zh-CN"/>
        </w:rPr>
        <w:t xml:space="preserve"> </w:t>
      </w:r>
      <w:r>
        <w:rPr>
          <w:rFonts w:hint="eastAsia" w:eastAsia="宋体"/>
          <w:color w:val="auto"/>
          <w:lang w:val="en-US" w:eastAsia="zh-CN"/>
        </w:rPr>
        <w:t>10</w:t>
      </w:r>
      <w:r>
        <w:rPr>
          <w:color w:val="auto"/>
        </w:rPr>
        <w:t>月为配合水土保持验收技术评估工作，我单位监测人员又对全线进行了全面的现场调查，并汇总监测资料，编制完成了《</w:t>
      </w:r>
      <w:r>
        <w:rPr>
          <w:rFonts w:hint="eastAsia"/>
          <w:color w:val="auto"/>
          <w:lang w:eastAsia="zh-CN"/>
        </w:rPr>
        <w:t>G320线普安江西坡至三板桥段改扩建工程</w:t>
      </w:r>
      <w:r>
        <w:rPr>
          <w:color w:val="auto"/>
        </w:rPr>
        <w:t>水土保持监测总结报告》</w:t>
      </w:r>
      <w:r>
        <w:rPr>
          <w:rFonts w:hint="eastAsia"/>
          <w:color w:val="auto"/>
          <w:lang w:eastAsia="zh-CN"/>
        </w:rPr>
        <w:t>。</w:t>
      </w:r>
    </w:p>
    <w:p>
      <w:pPr>
        <w:pStyle w:val="4"/>
        <w:rPr>
          <w:rFonts w:hint="eastAsia"/>
          <w:color w:val="auto"/>
          <w:lang w:val="en-US" w:eastAsia="zh-CN"/>
        </w:rPr>
      </w:pPr>
      <w:r>
        <w:rPr>
          <w:rFonts w:hint="eastAsia"/>
          <w:color w:val="auto"/>
          <w:lang w:val="en-US" w:eastAsia="zh-CN"/>
        </w:rPr>
        <w:t>2.3.1调查监测</w:t>
      </w:r>
    </w:p>
    <w:p>
      <w:pPr>
        <w:rPr>
          <w:color w:val="auto"/>
          <w:w w:val="95"/>
        </w:rPr>
      </w:pPr>
      <w:r>
        <w:rPr>
          <w:color w:val="auto"/>
        </w:rPr>
        <w:t xml:space="preserve">本项目自开展水土保持监测工作以来，已组织监测小组技术人员共 </w:t>
      </w:r>
      <w:r>
        <w:rPr>
          <w:rFonts w:hint="eastAsia"/>
          <w:color w:val="auto"/>
          <w:lang w:val="en-US" w:eastAsia="zh-CN"/>
        </w:rPr>
        <w:t>10</w:t>
      </w:r>
      <w:r>
        <w:rPr>
          <w:color w:val="auto"/>
        </w:rPr>
        <w:t>余次对项目建设区开展了水土保持监测调查。水土保持监测调查过程中采用收集资料、询问、典型调查、普查、抽样调查等调查方法，对本项目主体工程建设进度以及项目建设区内的扰动地表面积、水土流失灾害隐患、水土流失及造成的危害、水土保持工程建设情况、水土流失防治效果、水土保持工程设计及水土保持管理等开展详细调查及监测。201</w:t>
      </w:r>
      <w:r>
        <w:rPr>
          <w:rFonts w:hint="eastAsia"/>
          <w:color w:val="auto"/>
          <w:lang w:val="en-US" w:eastAsia="zh-CN"/>
        </w:rPr>
        <w:t>8</w:t>
      </w:r>
      <w:r>
        <w:rPr>
          <w:color w:val="auto"/>
        </w:rPr>
        <w:t>年</w:t>
      </w:r>
      <w:r>
        <w:rPr>
          <w:rFonts w:hint="eastAsia"/>
          <w:color w:val="auto"/>
          <w:lang w:val="en-US" w:eastAsia="zh-CN"/>
        </w:rPr>
        <w:t>6月</w:t>
      </w:r>
      <w:r>
        <w:rPr>
          <w:color w:val="auto"/>
        </w:rPr>
        <w:t>至20</w:t>
      </w:r>
      <w:r>
        <w:rPr>
          <w:rFonts w:hint="eastAsia"/>
          <w:color w:val="auto"/>
          <w:lang w:val="en-US" w:eastAsia="zh-CN"/>
        </w:rPr>
        <w:t>20</w:t>
      </w:r>
      <w:r>
        <w:rPr>
          <w:color w:val="auto"/>
        </w:rPr>
        <w:t>年第</w:t>
      </w:r>
      <w:r>
        <w:rPr>
          <w:rFonts w:hint="eastAsia"/>
          <w:color w:val="auto"/>
          <w:lang w:val="en-US" w:eastAsia="zh-CN"/>
        </w:rPr>
        <w:t>三</w:t>
      </w:r>
      <w:r>
        <w:rPr>
          <w:color w:val="auto"/>
        </w:rPr>
        <w:t>季度，监测技术人员在项目建设区共布设了</w:t>
      </w:r>
      <w:r>
        <w:rPr>
          <w:rFonts w:hint="eastAsia"/>
          <w:color w:val="auto"/>
          <w:lang w:val="en-US" w:eastAsia="zh-CN"/>
        </w:rPr>
        <w:t>10</w:t>
      </w:r>
      <w:r>
        <w:rPr>
          <w:color w:val="auto"/>
        </w:rPr>
        <w:t>个调查样点。</w:t>
      </w:r>
    </w:p>
    <w:p>
      <w:pPr>
        <w:pStyle w:val="2"/>
        <w:rPr>
          <w:rFonts w:hint="default"/>
          <w:color w:val="auto"/>
        </w:rPr>
        <w:sectPr>
          <w:headerReference r:id="rId9" w:type="default"/>
          <w:pgSz w:w="11906" w:h="16838"/>
          <w:pgMar w:top="1304" w:right="1418" w:bottom="1247" w:left="1701" w:header="851" w:footer="992" w:gutter="0"/>
          <w:pgBorders>
            <w:top w:val="none" w:sz="0" w:space="0"/>
            <w:left w:val="none" w:sz="0" w:space="0"/>
            <w:bottom w:val="none" w:sz="0" w:space="0"/>
            <w:right w:val="none" w:sz="0" w:space="0"/>
          </w:pgBorders>
          <w:pgNumType w:fmt="decimal"/>
          <w:cols w:space="720" w:num="1"/>
          <w:docGrid w:linePitch="326" w:charSpace="0"/>
        </w:sectPr>
      </w:pPr>
    </w:p>
    <w:p>
      <w:pPr>
        <w:pStyle w:val="2"/>
        <w:rPr>
          <w:rFonts w:hint="default"/>
          <w:color w:val="auto"/>
        </w:rPr>
      </w:pPr>
      <w:bookmarkStart w:id="99" w:name="_Toc19011"/>
      <w:r>
        <w:rPr>
          <w:rFonts w:hint="default"/>
          <w:color w:val="auto"/>
        </w:rPr>
        <w:t>3 重点部位水土流失动态监测结果</w:t>
      </w:r>
      <w:bookmarkEnd w:id="99"/>
    </w:p>
    <w:p>
      <w:pPr>
        <w:pStyle w:val="3"/>
        <w:rPr>
          <w:rFonts w:hint="default"/>
          <w:color w:val="auto"/>
        </w:rPr>
      </w:pPr>
      <w:bookmarkStart w:id="100" w:name="_Toc400530774"/>
      <w:bookmarkStart w:id="101" w:name="_Toc400529673"/>
      <w:bookmarkStart w:id="102" w:name="_Toc24528"/>
      <w:bookmarkStart w:id="103" w:name="_Toc371174605"/>
      <w:r>
        <w:rPr>
          <w:rFonts w:hint="default"/>
          <w:color w:val="auto"/>
        </w:rPr>
        <w:t>3.1防治责任范围监测结果</w:t>
      </w:r>
      <w:bookmarkEnd w:id="100"/>
      <w:bookmarkEnd w:id="101"/>
      <w:bookmarkEnd w:id="102"/>
      <w:bookmarkEnd w:id="103"/>
    </w:p>
    <w:p>
      <w:pPr>
        <w:pStyle w:val="4"/>
        <w:rPr>
          <w:rFonts w:hint="eastAsia" w:ascii="Times New Roman" w:hAnsi="Times New Roman" w:eastAsia="仿宋_GB2312"/>
          <w:color w:val="auto"/>
          <w:szCs w:val="24"/>
          <w:lang w:eastAsia="zh-CN"/>
        </w:rPr>
      </w:pPr>
      <w:bookmarkStart w:id="104" w:name="_Toc400530775"/>
      <w:bookmarkStart w:id="105" w:name="_Toc400529674"/>
      <w:bookmarkStart w:id="106" w:name="_Toc371174606"/>
      <w:r>
        <w:rPr>
          <w:rFonts w:hint="default"/>
          <w:color w:val="auto"/>
        </w:rPr>
        <w:t>3.1.1</w:t>
      </w:r>
      <w:bookmarkEnd w:id="104"/>
      <w:bookmarkEnd w:id="105"/>
      <w:bookmarkEnd w:id="106"/>
      <w:r>
        <w:rPr>
          <w:rFonts w:hint="eastAsia"/>
          <w:color w:val="auto"/>
          <w:lang w:eastAsia="zh-CN"/>
        </w:rPr>
        <w:t>原水土保持方案设计防治责任范围</w:t>
      </w:r>
    </w:p>
    <w:p>
      <w:pPr>
        <w:rPr>
          <w:rFonts w:hint="default" w:ascii="Times New Roman" w:hAnsi="Times New Roman" w:eastAsia="仿宋_GB2312"/>
          <w:color w:val="auto"/>
          <w:sz w:val="24"/>
          <w:szCs w:val="24"/>
          <w:lang w:val="zh-CN"/>
        </w:rPr>
      </w:pPr>
      <w:r>
        <w:rPr>
          <w:color w:val="auto"/>
          <w:lang w:eastAsia="zh-CN"/>
        </w:rPr>
        <w:t>根据贵州省水利厅下发的《关于</w:t>
      </w:r>
      <w:r>
        <w:rPr>
          <w:rFonts w:hint="eastAsia"/>
          <w:color w:val="auto"/>
          <w:lang w:eastAsia="zh-CN"/>
        </w:rPr>
        <w:t>G320线普安江西坡至三板桥段改扩建工程</w:t>
      </w:r>
      <w:r>
        <w:rPr>
          <w:color w:val="auto"/>
          <w:lang w:eastAsia="zh-CN"/>
        </w:rPr>
        <w:t>水土保持方案的复函》（黔水保函</w:t>
      </w:r>
      <w:r>
        <w:rPr>
          <w:rFonts w:hint="eastAsia" w:ascii="仿宋_GB2312" w:hAnsi="仿宋_GB2312" w:eastAsia="仿宋_GB2312" w:cs="仿宋_GB2312"/>
          <w:color w:val="auto"/>
          <w:lang w:eastAsia="zh-CN"/>
        </w:rPr>
        <w:t>〔</w:t>
      </w:r>
      <w:r>
        <w:rPr>
          <w:color w:val="auto"/>
          <w:lang w:eastAsia="zh-CN"/>
        </w:rPr>
        <w:t>20</w:t>
      </w:r>
      <w:r>
        <w:rPr>
          <w:rFonts w:hint="eastAsia"/>
          <w:color w:val="auto"/>
          <w:lang w:val="en-US" w:eastAsia="zh-CN"/>
        </w:rPr>
        <w:t>18</w:t>
      </w:r>
      <w:r>
        <w:rPr>
          <w:rFonts w:hint="eastAsia" w:ascii="仿宋_GB2312" w:hAnsi="仿宋_GB2312" w:eastAsia="仿宋_GB2312" w:cs="仿宋_GB2312"/>
          <w:color w:val="auto"/>
          <w:lang w:eastAsia="zh-CN"/>
        </w:rPr>
        <w:t>〕</w:t>
      </w:r>
      <w:r>
        <w:rPr>
          <w:rFonts w:hint="eastAsia"/>
          <w:color w:val="auto"/>
          <w:lang w:val="en-US" w:eastAsia="zh-CN"/>
        </w:rPr>
        <w:t>28</w:t>
      </w:r>
      <w:r>
        <w:rPr>
          <w:color w:val="auto"/>
          <w:lang w:eastAsia="zh-CN"/>
        </w:rPr>
        <w:t>号）</w:t>
      </w:r>
      <w:r>
        <w:rPr>
          <w:color w:val="auto"/>
          <w:lang w:val="zh-CN" w:eastAsia="zh-CN"/>
        </w:rPr>
        <w:t>，本项目</w:t>
      </w:r>
      <w:r>
        <w:rPr>
          <w:color w:val="auto"/>
          <w:lang w:eastAsia="zh-CN"/>
        </w:rPr>
        <w:t>水土流失防治责任范围总面积</w:t>
      </w:r>
      <w:r>
        <w:rPr>
          <w:rFonts w:hint="eastAsia"/>
          <w:color w:val="auto"/>
          <w:lang w:val="en-US" w:eastAsia="zh-CN"/>
        </w:rPr>
        <w:t>72.27</w:t>
      </w:r>
      <w:r>
        <w:rPr>
          <w:color w:val="auto"/>
          <w:lang w:eastAsia="zh-CN"/>
        </w:rPr>
        <w:t>h</w:t>
      </w:r>
      <w:r>
        <w:rPr>
          <w:rFonts w:hint="eastAsia"/>
          <w:color w:val="auto"/>
          <w:lang w:eastAsia="zh-CN"/>
        </w:rPr>
        <w:t>m</w:t>
      </w:r>
      <w:r>
        <w:rPr>
          <w:rFonts w:hint="eastAsia"/>
          <w:color w:val="auto"/>
          <w:vertAlign w:val="superscript"/>
          <w:lang w:val="en-US" w:eastAsia="zh-CN"/>
        </w:rPr>
        <w:t>2</w:t>
      </w:r>
      <w:r>
        <w:rPr>
          <w:color w:val="auto"/>
          <w:lang w:eastAsia="zh-CN"/>
        </w:rPr>
        <w:t>，其中：项目建设区面积</w:t>
      </w:r>
      <w:r>
        <w:rPr>
          <w:rFonts w:hint="eastAsia"/>
          <w:color w:val="auto"/>
          <w:lang w:val="en-US" w:eastAsia="zh-CN"/>
        </w:rPr>
        <w:t>65.09</w:t>
      </w:r>
      <w:r>
        <w:rPr>
          <w:color w:val="auto"/>
          <w:lang w:eastAsia="zh-CN"/>
        </w:rPr>
        <w:t>h</w:t>
      </w:r>
      <w:r>
        <w:rPr>
          <w:rFonts w:hint="eastAsia"/>
          <w:color w:val="auto"/>
          <w:lang w:eastAsia="zh-CN"/>
        </w:rPr>
        <w:t>m</w:t>
      </w:r>
      <w:r>
        <w:rPr>
          <w:rFonts w:hint="eastAsia"/>
          <w:color w:val="auto"/>
          <w:vertAlign w:val="superscript"/>
          <w:lang w:val="en-US" w:eastAsia="zh-CN"/>
        </w:rPr>
        <w:t>2</w:t>
      </w:r>
      <w:r>
        <w:rPr>
          <w:color w:val="auto"/>
          <w:lang w:eastAsia="zh-CN"/>
        </w:rPr>
        <w:t>，直接影响区面积</w:t>
      </w:r>
      <w:r>
        <w:rPr>
          <w:rFonts w:hint="eastAsia"/>
          <w:color w:val="auto"/>
          <w:lang w:val="en-US" w:eastAsia="zh-CN"/>
        </w:rPr>
        <w:t>7.18</w:t>
      </w:r>
      <w:r>
        <w:rPr>
          <w:color w:val="auto"/>
          <w:lang w:eastAsia="zh-CN"/>
        </w:rPr>
        <w:t>h</w:t>
      </w:r>
      <w:r>
        <w:rPr>
          <w:rFonts w:hint="eastAsia"/>
          <w:color w:val="auto"/>
          <w:lang w:eastAsia="zh-CN"/>
        </w:rPr>
        <w:t>m</w:t>
      </w:r>
      <w:r>
        <w:rPr>
          <w:rFonts w:hint="eastAsia"/>
          <w:color w:val="auto"/>
          <w:vertAlign w:val="superscript"/>
          <w:lang w:val="en-US" w:eastAsia="zh-CN"/>
        </w:rPr>
        <w:t>2</w:t>
      </w:r>
      <w:r>
        <w:rPr>
          <w:color w:val="auto"/>
          <w:lang w:eastAsia="zh-CN"/>
        </w:rPr>
        <w:t>。</w:t>
      </w:r>
      <w:r>
        <w:rPr>
          <w:rFonts w:hint="eastAsia"/>
          <w:color w:val="auto"/>
          <w:sz w:val="24"/>
          <w:szCs w:val="24"/>
          <w:lang w:eastAsia="zh-CN"/>
        </w:rPr>
        <w:t>原水土保持方案设计</w:t>
      </w:r>
      <w:r>
        <w:rPr>
          <w:rFonts w:ascii="Times New Roman" w:hAnsi="Times New Roman" w:eastAsia="仿宋_GB2312"/>
          <w:color w:val="auto"/>
          <w:sz w:val="24"/>
          <w:szCs w:val="24"/>
        </w:rPr>
        <w:t>水土流失防治责任范围见表3-1。</w:t>
      </w:r>
    </w:p>
    <w:p>
      <w:pPr>
        <w:pStyle w:val="17"/>
        <w:rPr>
          <w:rFonts w:hint="default"/>
          <w:color w:val="auto"/>
          <w:lang w:val="zh-CN"/>
        </w:rPr>
      </w:pPr>
      <w:r>
        <w:rPr>
          <w:rFonts w:hint="default"/>
          <w:color w:val="auto"/>
          <w:lang w:val="zh-CN"/>
        </w:rPr>
        <w:t>表</w:t>
      </w:r>
      <w:r>
        <w:rPr>
          <w:rFonts w:hint="default"/>
          <w:color w:val="auto"/>
        </w:rPr>
        <w:t>3</w:t>
      </w:r>
      <w:r>
        <w:rPr>
          <w:rFonts w:hint="default"/>
          <w:color w:val="auto"/>
          <w:lang w:val="zh-CN"/>
        </w:rPr>
        <w:t xml:space="preserve">-1      </w:t>
      </w:r>
      <w:r>
        <w:rPr>
          <w:rFonts w:hint="default"/>
          <w:color w:val="auto"/>
          <w:lang w:val="zh-CN" w:eastAsia="zh-CN"/>
        </w:rPr>
        <w:t>原</w:t>
      </w:r>
      <w:r>
        <w:rPr>
          <w:rFonts w:hint="default"/>
          <w:color w:val="auto"/>
          <w:lang w:val="zh-CN"/>
        </w:rPr>
        <w:t>水土流失防治责任范围表   单位：h</w:t>
      </w:r>
      <w:r>
        <w:rPr>
          <w:rFonts w:hint="eastAsia"/>
          <w:color w:val="auto"/>
          <w:lang w:val="zh-CN"/>
        </w:rPr>
        <w:t>m</w:t>
      </w:r>
      <w:r>
        <w:rPr>
          <w:rFonts w:hint="eastAsia"/>
          <w:color w:val="auto"/>
          <w:vertAlign w:val="superscript"/>
          <w:lang w:val="en-US" w:eastAsia="zh-CN"/>
        </w:rPr>
        <w:t>2</w:t>
      </w:r>
    </w:p>
    <w:tbl>
      <w:tblPr>
        <w:tblStyle w:val="11"/>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65"/>
        <w:gridCol w:w="1064"/>
        <w:gridCol w:w="1066"/>
        <w:gridCol w:w="1065"/>
        <w:gridCol w:w="1065"/>
        <w:gridCol w:w="1066"/>
        <w:gridCol w:w="1065"/>
        <w:gridCol w:w="10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95" w:type="dxa"/>
            <w:gridSpan w:val="3"/>
            <w:shd w:val="clear" w:color="auto" w:fill="auto"/>
            <w:vAlign w:val="center"/>
          </w:tcPr>
          <w:p>
            <w:pPr>
              <w:pStyle w:val="16"/>
              <w:rPr>
                <w:color w:val="auto"/>
              </w:rPr>
            </w:pPr>
            <w:r>
              <w:rPr>
                <w:color w:val="auto"/>
              </w:rPr>
              <w:t>项目组成</w:t>
            </w:r>
          </w:p>
        </w:tc>
        <w:tc>
          <w:tcPr>
            <w:tcW w:w="1065" w:type="dxa"/>
            <w:vMerge w:val="restart"/>
            <w:shd w:val="clear" w:color="auto" w:fill="auto"/>
            <w:vAlign w:val="center"/>
          </w:tcPr>
          <w:p>
            <w:pPr>
              <w:pStyle w:val="16"/>
              <w:rPr>
                <w:color w:val="auto"/>
              </w:rPr>
            </w:pPr>
            <w:r>
              <w:rPr>
                <w:color w:val="auto"/>
              </w:rPr>
              <w:t>合计</w:t>
            </w:r>
          </w:p>
        </w:tc>
        <w:tc>
          <w:tcPr>
            <w:tcW w:w="4262" w:type="dxa"/>
            <w:gridSpan w:val="4"/>
            <w:shd w:val="clear" w:color="auto" w:fill="auto"/>
            <w:vAlign w:val="center"/>
          </w:tcPr>
          <w:p>
            <w:pPr>
              <w:pStyle w:val="16"/>
              <w:rPr>
                <w:color w:val="auto"/>
              </w:rPr>
            </w:pPr>
            <w:r>
              <w:rPr>
                <w:color w:val="auto"/>
              </w:rPr>
              <w:t>项目建设区防治责任范围/hm</w:t>
            </w:r>
            <w:r>
              <w:rPr>
                <w:color w:val="auto"/>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65" w:type="dxa"/>
            <w:vMerge w:val="restart"/>
            <w:shd w:val="clear" w:color="auto" w:fill="auto"/>
            <w:vAlign w:val="center"/>
          </w:tcPr>
          <w:p>
            <w:pPr>
              <w:pStyle w:val="16"/>
              <w:rPr>
                <w:color w:val="auto"/>
              </w:rPr>
            </w:pPr>
            <w:r>
              <w:rPr>
                <w:color w:val="auto"/>
              </w:rPr>
              <w:t>一级分区</w:t>
            </w:r>
          </w:p>
        </w:tc>
        <w:tc>
          <w:tcPr>
            <w:tcW w:w="2130" w:type="dxa"/>
            <w:gridSpan w:val="2"/>
            <w:vMerge w:val="restart"/>
            <w:shd w:val="clear" w:color="auto" w:fill="auto"/>
            <w:vAlign w:val="center"/>
          </w:tcPr>
          <w:p>
            <w:pPr>
              <w:pStyle w:val="16"/>
              <w:rPr>
                <w:color w:val="auto"/>
              </w:rPr>
            </w:pPr>
            <w:r>
              <w:rPr>
                <w:color w:val="auto"/>
              </w:rPr>
              <w:t>二级分区</w:t>
            </w:r>
          </w:p>
        </w:tc>
        <w:tc>
          <w:tcPr>
            <w:tcW w:w="1065" w:type="dxa"/>
            <w:vMerge w:val="continue"/>
            <w:vAlign w:val="center"/>
          </w:tcPr>
          <w:p>
            <w:pPr>
              <w:pStyle w:val="16"/>
              <w:rPr>
                <w:color w:val="auto"/>
              </w:rPr>
            </w:pPr>
          </w:p>
        </w:tc>
        <w:tc>
          <w:tcPr>
            <w:tcW w:w="3196" w:type="dxa"/>
            <w:gridSpan w:val="3"/>
            <w:shd w:val="clear" w:color="auto" w:fill="auto"/>
            <w:vAlign w:val="center"/>
          </w:tcPr>
          <w:p>
            <w:pPr>
              <w:pStyle w:val="16"/>
              <w:rPr>
                <w:color w:val="auto"/>
              </w:rPr>
            </w:pPr>
            <w:r>
              <w:rPr>
                <w:color w:val="auto"/>
              </w:rPr>
              <w:t>项目建设区</w:t>
            </w:r>
          </w:p>
        </w:tc>
        <w:tc>
          <w:tcPr>
            <w:tcW w:w="1066" w:type="dxa"/>
            <w:shd w:val="clear" w:color="auto" w:fill="auto"/>
            <w:vAlign w:val="center"/>
          </w:tcPr>
          <w:p>
            <w:pPr>
              <w:pStyle w:val="16"/>
              <w:rPr>
                <w:color w:val="auto"/>
              </w:rPr>
            </w:pPr>
            <w:r>
              <w:rPr>
                <w:color w:val="auto"/>
              </w:rPr>
              <w:t>直接影响区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65" w:type="dxa"/>
            <w:vMerge w:val="continue"/>
            <w:vAlign w:val="center"/>
          </w:tcPr>
          <w:p>
            <w:pPr>
              <w:pStyle w:val="16"/>
              <w:rPr>
                <w:color w:val="auto"/>
              </w:rPr>
            </w:pPr>
          </w:p>
        </w:tc>
        <w:tc>
          <w:tcPr>
            <w:tcW w:w="2130" w:type="dxa"/>
            <w:gridSpan w:val="2"/>
            <w:vMerge w:val="continue"/>
            <w:vAlign w:val="center"/>
          </w:tcPr>
          <w:p>
            <w:pPr>
              <w:pStyle w:val="16"/>
              <w:rPr>
                <w:color w:val="auto"/>
              </w:rPr>
            </w:pPr>
          </w:p>
        </w:tc>
        <w:tc>
          <w:tcPr>
            <w:tcW w:w="1065" w:type="dxa"/>
            <w:vMerge w:val="continue"/>
            <w:vAlign w:val="center"/>
          </w:tcPr>
          <w:p>
            <w:pPr>
              <w:pStyle w:val="16"/>
              <w:rPr>
                <w:color w:val="auto"/>
              </w:rPr>
            </w:pPr>
          </w:p>
        </w:tc>
        <w:tc>
          <w:tcPr>
            <w:tcW w:w="1065" w:type="dxa"/>
            <w:shd w:val="clear" w:color="auto" w:fill="auto"/>
            <w:vAlign w:val="center"/>
          </w:tcPr>
          <w:p>
            <w:pPr>
              <w:pStyle w:val="16"/>
              <w:rPr>
                <w:color w:val="auto"/>
              </w:rPr>
            </w:pPr>
            <w:r>
              <w:rPr>
                <w:color w:val="auto"/>
              </w:rPr>
              <w:t>小计</w:t>
            </w:r>
          </w:p>
        </w:tc>
        <w:tc>
          <w:tcPr>
            <w:tcW w:w="1066" w:type="dxa"/>
            <w:shd w:val="clear" w:color="auto" w:fill="auto"/>
            <w:vAlign w:val="center"/>
          </w:tcPr>
          <w:p>
            <w:pPr>
              <w:pStyle w:val="16"/>
              <w:rPr>
                <w:color w:val="auto"/>
              </w:rPr>
            </w:pPr>
            <w:r>
              <w:rPr>
                <w:color w:val="auto"/>
              </w:rPr>
              <w:t>永久占地</w:t>
            </w:r>
          </w:p>
        </w:tc>
        <w:tc>
          <w:tcPr>
            <w:tcW w:w="1065" w:type="dxa"/>
            <w:shd w:val="clear" w:color="auto" w:fill="auto"/>
            <w:vAlign w:val="center"/>
          </w:tcPr>
          <w:p>
            <w:pPr>
              <w:pStyle w:val="16"/>
              <w:rPr>
                <w:color w:val="auto"/>
              </w:rPr>
            </w:pPr>
            <w:r>
              <w:rPr>
                <w:color w:val="auto"/>
              </w:rPr>
              <w:t>临时占地</w:t>
            </w:r>
          </w:p>
        </w:tc>
        <w:tc>
          <w:tcPr>
            <w:tcW w:w="1066" w:type="dxa"/>
            <w:shd w:val="clear" w:color="auto" w:fill="auto"/>
            <w:vAlign w:val="center"/>
          </w:tcPr>
          <w:p>
            <w:pPr>
              <w:pStyle w:val="16"/>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95" w:type="dxa"/>
            <w:gridSpan w:val="3"/>
            <w:shd w:val="clear" w:color="auto" w:fill="auto"/>
            <w:vAlign w:val="center"/>
          </w:tcPr>
          <w:p>
            <w:pPr>
              <w:pStyle w:val="16"/>
              <w:rPr>
                <w:color w:val="auto"/>
              </w:rPr>
            </w:pPr>
            <w:r>
              <w:rPr>
                <w:color w:val="auto"/>
              </w:rPr>
              <w:t>路基工程区</w:t>
            </w:r>
          </w:p>
        </w:tc>
        <w:tc>
          <w:tcPr>
            <w:tcW w:w="1065" w:type="dxa"/>
            <w:shd w:val="clear" w:color="auto" w:fill="auto"/>
            <w:vAlign w:val="center"/>
          </w:tcPr>
          <w:p>
            <w:pPr>
              <w:pStyle w:val="16"/>
              <w:rPr>
                <w:color w:val="auto"/>
              </w:rPr>
            </w:pPr>
            <w:r>
              <w:rPr>
                <w:color w:val="auto"/>
              </w:rPr>
              <w:t>64.04</w:t>
            </w:r>
          </w:p>
        </w:tc>
        <w:tc>
          <w:tcPr>
            <w:tcW w:w="1065" w:type="dxa"/>
            <w:shd w:val="clear" w:color="auto" w:fill="auto"/>
            <w:vAlign w:val="center"/>
          </w:tcPr>
          <w:p>
            <w:pPr>
              <w:pStyle w:val="16"/>
              <w:rPr>
                <w:color w:val="auto"/>
              </w:rPr>
            </w:pPr>
            <w:r>
              <w:rPr>
                <w:color w:val="auto"/>
              </w:rPr>
              <w:t>58.19</w:t>
            </w:r>
          </w:p>
        </w:tc>
        <w:tc>
          <w:tcPr>
            <w:tcW w:w="1066" w:type="dxa"/>
            <w:shd w:val="clear" w:color="auto" w:fill="auto"/>
            <w:vAlign w:val="center"/>
          </w:tcPr>
          <w:p>
            <w:pPr>
              <w:pStyle w:val="16"/>
              <w:rPr>
                <w:color w:val="auto"/>
              </w:rPr>
            </w:pPr>
            <w:r>
              <w:rPr>
                <w:color w:val="auto"/>
              </w:rPr>
              <w:t>58.19</w:t>
            </w:r>
          </w:p>
        </w:tc>
        <w:tc>
          <w:tcPr>
            <w:tcW w:w="1065" w:type="dxa"/>
            <w:shd w:val="clear" w:color="auto" w:fill="auto"/>
            <w:vAlign w:val="center"/>
          </w:tcPr>
          <w:p>
            <w:pPr>
              <w:pStyle w:val="16"/>
              <w:rPr>
                <w:color w:val="auto"/>
              </w:rPr>
            </w:pPr>
          </w:p>
        </w:tc>
        <w:tc>
          <w:tcPr>
            <w:tcW w:w="1066" w:type="dxa"/>
            <w:shd w:val="clear" w:color="auto" w:fill="auto"/>
            <w:vAlign w:val="center"/>
          </w:tcPr>
          <w:p>
            <w:pPr>
              <w:pStyle w:val="16"/>
              <w:rPr>
                <w:color w:val="auto"/>
              </w:rPr>
            </w:pPr>
            <w:r>
              <w:rPr>
                <w:color w:val="auto"/>
              </w:rPr>
              <w:t>5.85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95" w:type="dxa"/>
            <w:gridSpan w:val="3"/>
            <w:shd w:val="clear" w:color="auto" w:fill="auto"/>
            <w:vAlign w:val="center"/>
          </w:tcPr>
          <w:p>
            <w:pPr>
              <w:pStyle w:val="16"/>
              <w:rPr>
                <w:color w:val="auto"/>
              </w:rPr>
            </w:pPr>
            <w:r>
              <w:rPr>
                <w:color w:val="auto"/>
              </w:rPr>
              <w:t>桥梁工程区</w:t>
            </w:r>
          </w:p>
        </w:tc>
        <w:tc>
          <w:tcPr>
            <w:tcW w:w="1065" w:type="dxa"/>
            <w:shd w:val="clear" w:color="auto" w:fill="auto"/>
            <w:vAlign w:val="center"/>
          </w:tcPr>
          <w:p>
            <w:pPr>
              <w:pStyle w:val="16"/>
              <w:rPr>
                <w:color w:val="auto"/>
              </w:rPr>
            </w:pPr>
            <w:r>
              <w:rPr>
                <w:color w:val="auto"/>
              </w:rPr>
              <w:t>0.19</w:t>
            </w:r>
          </w:p>
        </w:tc>
        <w:tc>
          <w:tcPr>
            <w:tcW w:w="1065" w:type="dxa"/>
            <w:shd w:val="clear" w:color="auto" w:fill="auto"/>
            <w:vAlign w:val="center"/>
          </w:tcPr>
          <w:p>
            <w:pPr>
              <w:pStyle w:val="16"/>
              <w:rPr>
                <w:color w:val="auto"/>
              </w:rPr>
            </w:pPr>
            <w:r>
              <w:rPr>
                <w:color w:val="auto"/>
              </w:rPr>
              <w:t>0.19</w:t>
            </w:r>
          </w:p>
        </w:tc>
        <w:tc>
          <w:tcPr>
            <w:tcW w:w="1066" w:type="dxa"/>
            <w:shd w:val="clear" w:color="auto" w:fill="auto"/>
            <w:vAlign w:val="center"/>
          </w:tcPr>
          <w:p>
            <w:pPr>
              <w:pStyle w:val="16"/>
              <w:rPr>
                <w:color w:val="auto"/>
              </w:rPr>
            </w:pPr>
            <w:r>
              <w:rPr>
                <w:color w:val="auto"/>
              </w:rPr>
              <w:t>0.19</w:t>
            </w:r>
          </w:p>
        </w:tc>
        <w:tc>
          <w:tcPr>
            <w:tcW w:w="1065" w:type="dxa"/>
            <w:shd w:val="clear" w:color="auto" w:fill="auto"/>
            <w:vAlign w:val="center"/>
          </w:tcPr>
          <w:p>
            <w:pPr>
              <w:pStyle w:val="16"/>
              <w:rPr>
                <w:color w:val="auto"/>
              </w:rPr>
            </w:pPr>
          </w:p>
        </w:tc>
        <w:tc>
          <w:tcPr>
            <w:tcW w:w="1066" w:type="dxa"/>
            <w:shd w:val="clear" w:color="auto" w:fill="auto"/>
            <w:vAlign w:val="center"/>
          </w:tcPr>
          <w:p>
            <w:pPr>
              <w:pStyle w:val="16"/>
              <w:rPr>
                <w:color w:val="auto"/>
              </w:rPr>
            </w:pPr>
            <w:r>
              <w:rPr>
                <w:color w:val="auto"/>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95" w:type="dxa"/>
            <w:gridSpan w:val="3"/>
            <w:shd w:val="clear" w:color="auto" w:fill="auto"/>
            <w:vAlign w:val="center"/>
          </w:tcPr>
          <w:p>
            <w:pPr>
              <w:pStyle w:val="16"/>
              <w:rPr>
                <w:color w:val="auto"/>
              </w:rPr>
            </w:pPr>
            <w:r>
              <w:rPr>
                <w:color w:val="auto"/>
              </w:rPr>
              <w:t>料场区</w:t>
            </w:r>
          </w:p>
        </w:tc>
        <w:tc>
          <w:tcPr>
            <w:tcW w:w="1065" w:type="dxa"/>
            <w:shd w:val="clear" w:color="auto" w:fill="auto"/>
            <w:vAlign w:val="center"/>
          </w:tcPr>
          <w:p>
            <w:pPr>
              <w:pStyle w:val="16"/>
              <w:rPr>
                <w:color w:val="auto"/>
              </w:rPr>
            </w:pPr>
            <w:r>
              <w:rPr>
                <w:color w:val="auto"/>
              </w:rPr>
              <w:t>2.81</w:t>
            </w:r>
          </w:p>
        </w:tc>
        <w:tc>
          <w:tcPr>
            <w:tcW w:w="1065" w:type="dxa"/>
            <w:shd w:val="clear" w:color="auto" w:fill="auto"/>
            <w:vAlign w:val="center"/>
          </w:tcPr>
          <w:p>
            <w:pPr>
              <w:pStyle w:val="16"/>
              <w:rPr>
                <w:color w:val="auto"/>
              </w:rPr>
            </w:pPr>
            <w:r>
              <w:rPr>
                <w:color w:val="auto"/>
              </w:rPr>
              <w:t>2.26</w:t>
            </w:r>
          </w:p>
        </w:tc>
        <w:tc>
          <w:tcPr>
            <w:tcW w:w="1066" w:type="dxa"/>
            <w:shd w:val="clear" w:color="auto" w:fill="auto"/>
            <w:vAlign w:val="center"/>
          </w:tcPr>
          <w:p>
            <w:pPr>
              <w:pStyle w:val="16"/>
              <w:rPr>
                <w:color w:val="auto"/>
              </w:rPr>
            </w:pPr>
          </w:p>
        </w:tc>
        <w:tc>
          <w:tcPr>
            <w:tcW w:w="1065" w:type="dxa"/>
            <w:shd w:val="clear" w:color="auto" w:fill="auto"/>
            <w:vAlign w:val="center"/>
          </w:tcPr>
          <w:p>
            <w:pPr>
              <w:pStyle w:val="16"/>
              <w:rPr>
                <w:color w:val="auto"/>
              </w:rPr>
            </w:pPr>
            <w:r>
              <w:rPr>
                <w:color w:val="auto"/>
              </w:rPr>
              <w:t>2.26</w:t>
            </w:r>
          </w:p>
        </w:tc>
        <w:tc>
          <w:tcPr>
            <w:tcW w:w="1066" w:type="dxa"/>
            <w:shd w:val="clear" w:color="auto" w:fill="auto"/>
            <w:vAlign w:val="center"/>
          </w:tcPr>
          <w:p>
            <w:pPr>
              <w:pStyle w:val="16"/>
              <w:rPr>
                <w:color w:val="auto"/>
              </w:rPr>
            </w:pPr>
            <w:r>
              <w:rPr>
                <w:color w:val="auto"/>
              </w:rPr>
              <w:t>0.55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9" w:type="dxa"/>
            <w:gridSpan w:val="2"/>
            <w:vMerge w:val="restart"/>
            <w:shd w:val="clear" w:color="auto" w:fill="auto"/>
            <w:vAlign w:val="center"/>
          </w:tcPr>
          <w:p>
            <w:pPr>
              <w:pStyle w:val="16"/>
              <w:rPr>
                <w:color w:val="auto"/>
              </w:rPr>
            </w:pPr>
            <w:r>
              <w:rPr>
                <w:color w:val="auto"/>
              </w:rPr>
              <w:t>弃渣场区</w:t>
            </w:r>
          </w:p>
        </w:tc>
        <w:tc>
          <w:tcPr>
            <w:tcW w:w="1066" w:type="dxa"/>
            <w:shd w:val="clear" w:color="auto" w:fill="auto"/>
            <w:vAlign w:val="center"/>
          </w:tcPr>
          <w:p>
            <w:pPr>
              <w:pStyle w:val="16"/>
              <w:rPr>
                <w:color w:val="auto"/>
              </w:rPr>
            </w:pPr>
            <w:r>
              <w:rPr>
                <w:color w:val="auto"/>
              </w:rPr>
              <w:t>1#弃渣场</w:t>
            </w:r>
          </w:p>
        </w:tc>
        <w:tc>
          <w:tcPr>
            <w:tcW w:w="1065" w:type="dxa"/>
            <w:shd w:val="clear" w:color="auto" w:fill="auto"/>
            <w:vAlign w:val="center"/>
          </w:tcPr>
          <w:p>
            <w:pPr>
              <w:pStyle w:val="16"/>
              <w:rPr>
                <w:color w:val="auto"/>
              </w:rPr>
            </w:pPr>
            <w:r>
              <w:rPr>
                <w:color w:val="auto"/>
              </w:rPr>
              <w:t>0.46</w:t>
            </w:r>
          </w:p>
        </w:tc>
        <w:tc>
          <w:tcPr>
            <w:tcW w:w="1065" w:type="dxa"/>
            <w:shd w:val="clear" w:color="auto" w:fill="auto"/>
            <w:vAlign w:val="center"/>
          </w:tcPr>
          <w:p>
            <w:pPr>
              <w:pStyle w:val="16"/>
              <w:rPr>
                <w:color w:val="auto"/>
              </w:rPr>
            </w:pPr>
            <w:r>
              <w:rPr>
                <w:color w:val="auto"/>
              </w:rPr>
              <w:t>0.46</w:t>
            </w:r>
          </w:p>
        </w:tc>
        <w:tc>
          <w:tcPr>
            <w:tcW w:w="1066" w:type="dxa"/>
            <w:shd w:val="clear" w:color="auto" w:fill="auto"/>
            <w:vAlign w:val="center"/>
          </w:tcPr>
          <w:p>
            <w:pPr>
              <w:pStyle w:val="16"/>
              <w:rPr>
                <w:color w:val="auto"/>
              </w:rPr>
            </w:pPr>
            <w:r>
              <w:rPr>
                <w:color w:val="auto"/>
              </w:rPr>
              <w:t>0.46</w:t>
            </w:r>
          </w:p>
        </w:tc>
        <w:tc>
          <w:tcPr>
            <w:tcW w:w="1065" w:type="dxa"/>
            <w:shd w:val="clear" w:color="auto" w:fill="auto"/>
            <w:vAlign w:val="center"/>
          </w:tcPr>
          <w:p>
            <w:pPr>
              <w:pStyle w:val="16"/>
              <w:rPr>
                <w:color w:val="auto"/>
              </w:rPr>
            </w:pPr>
          </w:p>
        </w:tc>
        <w:tc>
          <w:tcPr>
            <w:tcW w:w="1066" w:type="dxa"/>
            <w:shd w:val="clear" w:color="auto" w:fill="auto"/>
            <w:vAlign w:val="center"/>
          </w:tcPr>
          <w:p>
            <w:pPr>
              <w:pStyle w:val="16"/>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9" w:type="dxa"/>
            <w:gridSpan w:val="2"/>
            <w:vMerge w:val="continue"/>
            <w:vAlign w:val="center"/>
          </w:tcPr>
          <w:p>
            <w:pPr>
              <w:pStyle w:val="16"/>
              <w:rPr>
                <w:color w:val="auto"/>
              </w:rPr>
            </w:pPr>
          </w:p>
        </w:tc>
        <w:tc>
          <w:tcPr>
            <w:tcW w:w="1066" w:type="dxa"/>
            <w:shd w:val="clear" w:color="auto" w:fill="auto"/>
            <w:vAlign w:val="center"/>
          </w:tcPr>
          <w:p>
            <w:pPr>
              <w:pStyle w:val="16"/>
              <w:rPr>
                <w:color w:val="auto"/>
              </w:rPr>
            </w:pPr>
            <w:r>
              <w:rPr>
                <w:color w:val="auto"/>
              </w:rPr>
              <w:t>2#弃渣场</w:t>
            </w:r>
          </w:p>
        </w:tc>
        <w:tc>
          <w:tcPr>
            <w:tcW w:w="1065" w:type="dxa"/>
            <w:shd w:val="clear" w:color="auto" w:fill="auto"/>
            <w:vAlign w:val="center"/>
          </w:tcPr>
          <w:p>
            <w:pPr>
              <w:pStyle w:val="16"/>
              <w:rPr>
                <w:color w:val="auto"/>
              </w:rPr>
            </w:pPr>
            <w:r>
              <w:rPr>
                <w:color w:val="auto"/>
              </w:rPr>
              <w:t>0.79</w:t>
            </w:r>
          </w:p>
        </w:tc>
        <w:tc>
          <w:tcPr>
            <w:tcW w:w="1065" w:type="dxa"/>
            <w:shd w:val="clear" w:color="auto" w:fill="auto"/>
            <w:vAlign w:val="center"/>
          </w:tcPr>
          <w:p>
            <w:pPr>
              <w:pStyle w:val="16"/>
              <w:rPr>
                <w:color w:val="auto"/>
              </w:rPr>
            </w:pPr>
            <w:r>
              <w:rPr>
                <w:color w:val="auto"/>
              </w:rPr>
              <w:t>0.79</w:t>
            </w:r>
          </w:p>
        </w:tc>
        <w:tc>
          <w:tcPr>
            <w:tcW w:w="1066" w:type="dxa"/>
            <w:shd w:val="clear" w:color="auto" w:fill="auto"/>
            <w:vAlign w:val="center"/>
          </w:tcPr>
          <w:p>
            <w:pPr>
              <w:pStyle w:val="16"/>
              <w:rPr>
                <w:color w:val="auto"/>
              </w:rPr>
            </w:pPr>
            <w:r>
              <w:rPr>
                <w:color w:val="auto"/>
              </w:rPr>
              <w:t>0.79</w:t>
            </w:r>
          </w:p>
        </w:tc>
        <w:tc>
          <w:tcPr>
            <w:tcW w:w="1065" w:type="dxa"/>
            <w:shd w:val="clear" w:color="auto" w:fill="auto"/>
            <w:vAlign w:val="center"/>
          </w:tcPr>
          <w:p>
            <w:pPr>
              <w:pStyle w:val="16"/>
              <w:rPr>
                <w:color w:val="auto"/>
              </w:rPr>
            </w:pPr>
          </w:p>
        </w:tc>
        <w:tc>
          <w:tcPr>
            <w:tcW w:w="1066" w:type="dxa"/>
            <w:shd w:val="clear" w:color="auto" w:fill="auto"/>
            <w:vAlign w:val="center"/>
          </w:tcPr>
          <w:p>
            <w:pPr>
              <w:pStyle w:val="16"/>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9" w:type="dxa"/>
            <w:gridSpan w:val="2"/>
            <w:vMerge w:val="continue"/>
            <w:vAlign w:val="center"/>
          </w:tcPr>
          <w:p>
            <w:pPr>
              <w:pStyle w:val="16"/>
              <w:rPr>
                <w:color w:val="auto"/>
              </w:rPr>
            </w:pPr>
          </w:p>
        </w:tc>
        <w:tc>
          <w:tcPr>
            <w:tcW w:w="1066" w:type="dxa"/>
            <w:shd w:val="clear" w:color="auto" w:fill="auto"/>
            <w:vAlign w:val="center"/>
          </w:tcPr>
          <w:p>
            <w:pPr>
              <w:pStyle w:val="16"/>
              <w:rPr>
                <w:color w:val="auto"/>
              </w:rPr>
            </w:pPr>
            <w:r>
              <w:rPr>
                <w:color w:val="auto"/>
              </w:rPr>
              <w:t>3#弃渣场</w:t>
            </w:r>
          </w:p>
        </w:tc>
        <w:tc>
          <w:tcPr>
            <w:tcW w:w="1065" w:type="dxa"/>
            <w:shd w:val="clear" w:color="auto" w:fill="auto"/>
            <w:vAlign w:val="center"/>
          </w:tcPr>
          <w:p>
            <w:pPr>
              <w:pStyle w:val="16"/>
              <w:rPr>
                <w:color w:val="auto"/>
              </w:rPr>
            </w:pPr>
            <w:r>
              <w:rPr>
                <w:color w:val="auto"/>
              </w:rPr>
              <w:t>0.86</w:t>
            </w:r>
          </w:p>
        </w:tc>
        <w:tc>
          <w:tcPr>
            <w:tcW w:w="1065" w:type="dxa"/>
            <w:shd w:val="clear" w:color="auto" w:fill="auto"/>
            <w:vAlign w:val="center"/>
          </w:tcPr>
          <w:p>
            <w:pPr>
              <w:pStyle w:val="16"/>
              <w:rPr>
                <w:color w:val="auto"/>
              </w:rPr>
            </w:pPr>
            <w:r>
              <w:rPr>
                <w:color w:val="auto"/>
              </w:rPr>
              <w:t>0.86</w:t>
            </w:r>
          </w:p>
        </w:tc>
        <w:tc>
          <w:tcPr>
            <w:tcW w:w="1066" w:type="dxa"/>
            <w:shd w:val="clear" w:color="auto" w:fill="auto"/>
            <w:vAlign w:val="center"/>
          </w:tcPr>
          <w:p>
            <w:pPr>
              <w:pStyle w:val="16"/>
              <w:rPr>
                <w:color w:val="auto"/>
              </w:rPr>
            </w:pPr>
            <w:r>
              <w:rPr>
                <w:color w:val="auto"/>
              </w:rPr>
              <w:t>0.86</w:t>
            </w:r>
          </w:p>
        </w:tc>
        <w:tc>
          <w:tcPr>
            <w:tcW w:w="1065" w:type="dxa"/>
            <w:shd w:val="clear" w:color="auto" w:fill="auto"/>
            <w:vAlign w:val="center"/>
          </w:tcPr>
          <w:p>
            <w:pPr>
              <w:pStyle w:val="16"/>
              <w:rPr>
                <w:color w:val="auto"/>
              </w:rPr>
            </w:pPr>
          </w:p>
        </w:tc>
        <w:tc>
          <w:tcPr>
            <w:tcW w:w="1066" w:type="dxa"/>
            <w:shd w:val="clear" w:color="auto" w:fill="auto"/>
            <w:vAlign w:val="center"/>
          </w:tcPr>
          <w:p>
            <w:pPr>
              <w:pStyle w:val="16"/>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9" w:type="dxa"/>
            <w:gridSpan w:val="2"/>
            <w:vMerge w:val="continue"/>
            <w:vAlign w:val="center"/>
          </w:tcPr>
          <w:p>
            <w:pPr>
              <w:pStyle w:val="16"/>
              <w:rPr>
                <w:color w:val="auto"/>
              </w:rPr>
            </w:pPr>
          </w:p>
        </w:tc>
        <w:tc>
          <w:tcPr>
            <w:tcW w:w="1066" w:type="dxa"/>
            <w:shd w:val="clear" w:color="auto" w:fill="auto"/>
            <w:vAlign w:val="center"/>
          </w:tcPr>
          <w:p>
            <w:pPr>
              <w:pStyle w:val="16"/>
              <w:rPr>
                <w:color w:val="auto"/>
              </w:rPr>
            </w:pPr>
            <w:r>
              <w:rPr>
                <w:color w:val="auto"/>
              </w:rPr>
              <w:t>4#弃渣场</w:t>
            </w:r>
          </w:p>
        </w:tc>
        <w:tc>
          <w:tcPr>
            <w:tcW w:w="1065" w:type="dxa"/>
            <w:shd w:val="clear" w:color="auto" w:fill="auto"/>
            <w:vAlign w:val="center"/>
          </w:tcPr>
          <w:p>
            <w:pPr>
              <w:pStyle w:val="16"/>
              <w:rPr>
                <w:color w:val="auto"/>
              </w:rPr>
            </w:pPr>
            <w:r>
              <w:rPr>
                <w:color w:val="auto"/>
              </w:rPr>
              <w:t>0.63</w:t>
            </w:r>
          </w:p>
        </w:tc>
        <w:tc>
          <w:tcPr>
            <w:tcW w:w="1065" w:type="dxa"/>
            <w:shd w:val="clear" w:color="auto" w:fill="auto"/>
            <w:vAlign w:val="center"/>
          </w:tcPr>
          <w:p>
            <w:pPr>
              <w:pStyle w:val="16"/>
              <w:rPr>
                <w:color w:val="auto"/>
              </w:rPr>
            </w:pPr>
            <w:r>
              <w:rPr>
                <w:color w:val="auto"/>
              </w:rPr>
              <w:t>0.63</w:t>
            </w:r>
          </w:p>
        </w:tc>
        <w:tc>
          <w:tcPr>
            <w:tcW w:w="1066" w:type="dxa"/>
            <w:shd w:val="clear" w:color="auto" w:fill="auto"/>
            <w:vAlign w:val="center"/>
          </w:tcPr>
          <w:p>
            <w:pPr>
              <w:pStyle w:val="16"/>
              <w:rPr>
                <w:color w:val="auto"/>
              </w:rPr>
            </w:pPr>
            <w:r>
              <w:rPr>
                <w:color w:val="auto"/>
              </w:rPr>
              <w:t>0.63</w:t>
            </w:r>
          </w:p>
        </w:tc>
        <w:tc>
          <w:tcPr>
            <w:tcW w:w="1065" w:type="dxa"/>
            <w:shd w:val="clear" w:color="auto" w:fill="auto"/>
            <w:vAlign w:val="center"/>
          </w:tcPr>
          <w:p>
            <w:pPr>
              <w:pStyle w:val="16"/>
              <w:rPr>
                <w:color w:val="auto"/>
              </w:rPr>
            </w:pPr>
          </w:p>
        </w:tc>
        <w:tc>
          <w:tcPr>
            <w:tcW w:w="1066" w:type="dxa"/>
            <w:shd w:val="clear" w:color="auto" w:fill="auto"/>
            <w:vAlign w:val="center"/>
          </w:tcPr>
          <w:p>
            <w:pPr>
              <w:pStyle w:val="16"/>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9" w:type="dxa"/>
            <w:gridSpan w:val="2"/>
            <w:vMerge w:val="continue"/>
            <w:vAlign w:val="center"/>
          </w:tcPr>
          <w:p>
            <w:pPr>
              <w:pStyle w:val="16"/>
              <w:rPr>
                <w:color w:val="auto"/>
              </w:rPr>
            </w:pPr>
          </w:p>
        </w:tc>
        <w:tc>
          <w:tcPr>
            <w:tcW w:w="1066" w:type="dxa"/>
            <w:shd w:val="clear" w:color="auto" w:fill="auto"/>
            <w:vAlign w:val="center"/>
          </w:tcPr>
          <w:p>
            <w:pPr>
              <w:pStyle w:val="16"/>
              <w:rPr>
                <w:color w:val="auto"/>
              </w:rPr>
            </w:pPr>
            <w:r>
              <w:rPr>
                <w:color w:val="auto"/>
              </w:rPr>
              <w:t>5#弃渣场</w:t>
            </w:r>
          </w:p>
        </w:tc>
        <w:tc>
          <w:tcPr>
            <w:tcW w:w="1065" w:type="dxa"/>
            <w:shd w:val="clear" w:color="auto" w:fill="auto"/>
            <w:vAlign w:val="center"/>
          </w:tcPr>
          <w:p>
            <w:pPr>
              <w:pStyle w:val="16"/>
              <w:rPr>
                <w:color w:val="auto"/>
              </w:rPr>
            </w:pPr>
            <w:r>
              <w:rPr>
                <w:color w:val="auto"/>
              </w:rPr>
              <w:t>1.59</w:t>
            </w:r>
          </w:p>
        </w:tc>
        <w:tc>
          <w:tcPr>
            <w:tcW w:w="1065" w:type="dxa"/>
            <w:shd w:val="clear" w:color="auto" w:fill="auto"/>
            <w:vAlign w:val="center"/>
          </w:tcPr>
          <w:p>
            <w:pPr>
              <w:pStyle w:val="16"/>
              <w:rPr>
                <w:color w:val="auto"/>
              </w:rPr>
            </w:pPr>
            <w:r>
              <w:rPr>
                <w:color w:val="auto"/>
              </w:rPr>
              <w:t>1.10</w:t>
            </w:r>
          </w:p>
        </w:tc>
        <w:tc>
          <w:tcPr>
            <w:tcW w:w="1066" w:type="dxa"/>
            <w:shd w:val="clear" w:color="auto" w:fill="auto"/>
            <w:vAlign w:val="center"/>
          </w:tcPr>
          <w:p>
            <w:pPr>
              <w:pStyle w:val="16"/>
              <w:rPr>
                <w:color w:val="auto"/>
              </w:rPr>
            </w:pPr>
            <w:r>
              <w:rPr>
                <w:color w:val="auto"/>
              </w:rPr>
              <w:t>1.1</w:t>
            </w:r>
          </w:p>
        </w:tc>
        <w:tc>
          <w:tcPr>
            <w:tcW w:w="1065" w:type="dxa"/>
            <w:shd w:val="clear" w:color="auto" w:fill="auto"/>
            <w:vAlign w:val="center"/>
          </w:tcPr>
          <w:p>
            <w:pPr>
              <w:pStyle w:val="16"/>
              <w:rPr>
                <w:color w:val="auto"/>
              </w:rPr>
            </w:pPr>
          </w:p>
        </w:tc>
        <w:tc>
          <w:tcPr>
            <w:tcW w:w="1066" w:type="dxa"/>
            <w:shd w:val="clear" w:color="auto" w:fill="auto"/>
            <w:vAlign w:val="center"/>
          </w:tcPr>
          <w:p>
            <w:pPr>
              <w:pStyle w:val="16"/>
              <w:rPr>
                <w:color w:val="auto"/>
              </w:rPr>
            </w:pPr>
            <w:r>
              <w:rPr>
                <w:color w:val="auto"/>
              </w:rPr>
              <w:t>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9" w:type="dxa"/>
            <w:gridSpan w:val="2"/>
            <w:vMerge w:val="continue"/>
            <w:vAlign w:val="center"/>
          </w:tcPr>
          <w:p>
            <w:pPr>
              <w:pStyle w:val="16"/>
              <w:rPr>
                <w:color w:val="auto"/>
              </w:rPr>
            </w:pPr>
          </w:p>
        </w:tc>
        <w:tc>
          <w:tcPr>
            <w:tcW w:w="1066" w:type="dxa"/>
            <w:shd w:val="clear" w:color="auto" w:fill="auto"/>
            <w:vAlign w:val="center"/>
          </w:tcPr>
          <w:p>
            <w:pPr>
              <w:pStyle w:val="16"/>
              <w:rPr>
                <w:color w:val="auto"/>
              </w:rPr>
            </w:pPr>
            <w:r>
              <w:rPr>
                <w:color w:val="auto"/>
              </w:rPr>
              <w:t>6#弃渣场</w:t>
            </w:r>
          </w:p>
        </w:tc>
        <w:tc>
          <w:tcPr>
            <w:tcW w:w="1065" w:type="dxa"/>
            <w:shd w:val="clear" w:color="auto" w:fill="auto"/>
            <w:vAlign w:val="center"/>
          </w:tcPr>
          <w:p>
            <w:pPr>
              <w:pStyle w:val="16"/>
              <w:rPr>
                <w:color w:val="auto"/>
              </w:rPr>
            </w:pPr>
            <w:r>
              <w:rPr>
                <w:color w:val="auto"/>
              </w:rPr>
              <w:t>0.49</w:t>
            </w:r>
          </w:p>
        </w:tc>
        <w:tc>
          <w:tcPr>
            <w:tcW w:w="1065" w:type="dxa"/>
            <w:shd w:val="clear" w:color="auto" w:fill="auto"/>
            <w:vAlign w:val="center"/>
          </w:tcPr>
          <w:p>
            <w:pPr>
              <w:pStyle w:val="16"/>
              <w:rPr>
                <w:color w:val="auto"/>
              </w:rPr>
            </w:pPr>
            <w:r>
              <w:rPr>
                <w:color w:val="auto"/>
              </w:rPr>
              <w:t>0.31</w:t>
            </w:r>
          </w:p>
        </w:tc>
        <w:tc>
          <w:tcPr>
            <w:tcW w:w="1066" w:type="dxa"/>
            <w:shd w:val="clear" w:color="auto" w:fill="auto"/>
            <w:vAlign w:val="center"/>
          </w:tcPr>
          <w:p>
            <w:pPr>
              <w:pStyle w:val="16"/>
              <w:rPr>
                <w:color w:val="auto"/>
              </w:rPr>
            </w:pPr>
            <w:r>
              <w:rPr>
                <w:color w:val="auto"/>
              </w:rPr>
              <w:t>0.31</w:t>
            </w:r>
          </w:p>
        </w:tc>
        <w:tc>
          <w:tcPr>
            <w:tcW w:w="1065" w:type="dxa"/>
            <w:shd w:val="clear" w:color="auto" w:fill="auto"/>
            <w:vAlign w:val="center"/>
          </w:tcPr>
          <w:p>
            <w:pPr>
              <w:pStyle w:val="16"/>
              <w:rPr>
                <w:color w:val="auto"/>
              </w:rPr>
            </w:pPr>
          </w:p>
        </w:tc>
        <w:tc>
          <w:tcPr>
            <w:tcW w:w="1066" w:type="dxa"/>
            <w:shd w:val="clear" w:color="auto" w:fill="auto"/>
            <w:vAlign w:val="center"/>
          </w:tcPr>
          <w:p>
            <w:pPr>
              <w:pStyle w:val="16"/>
              <w:rPr>
                <w:color w:val="auto"/>
              </w:rPr>
            </w:pPr>
            <w:r>
              <w:rPr>
                <w:color w:val="auto"/>
              </w:rPr>
              <w:t>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9" w:type="dxa"/>
            <w:gridSpan w:val="2"/>
            <w:vMerge w:val="continue"/>
            <w:vAlign w:val="center"/>
          </w:tcPr>
          <w:p>
            <w:pPr>
              <w:pStyle w:val="16"/>
              <w:rPr>
                <w:color w:val="auto"/>
              </w:rPr>
            </w:pPr>
          </w:p>
        </w:tc>
        <w:tc>
          <w:tcPr>
            <w:tcW w:w="1066" w:type="dxa"/>
            <w:shd w:val="clear" w:color="auto" w:fill="auto"/>
            <w:vAlign w:val="center"/>
          </w:tcPr>
          <w:p>
            <w:pPr>
              <w:pStyle w:val="16"/>
              <w:rPr>
                <w:color w:val="auto"/>
              </w:rPr>
            </w:pPr>
            <w:r>
              <w:rPr>
                <w:color w:val="auto"/>
              </w:rPr>
              <w:t>合计</w:t>
            </w:r>
          </w:p>
        </w:tc>
        <w:tc>
          <w:tcPr>
            <w:tcW w:w="1065" w:type="dxa"/>
            <w:shd w:val="clear" w:color="auto" w:fill="auto"/>
            <w:vAlign w:val="center"/>
          </w:tcPr>
          <w:p>
            <w:pPr>
              <w:pStyle w:val="16"/>
              <w:rPr>
                <w:color w:val="auto"/>
              </w:rPr>
            </w:pPr>
            <w:r>
              <w:rPr>
                <w:color w:val="auto"/>
              </w:rPr>
              <w:t>4.82</w:t>
            </w:r>
          </w:p>
        </w:tc>
        <w:tc>
          <w:tcPr>
            <w:tcW w:w="1065" w:type="dxa"/>
            <w:shd w:val="clear" w:color="auto" w:fill="auto"/>
            <w:vAlign w:val="center"/>
          </w:tcPr>
          <w:p>
            <w:pPr>
              <w:pStyle w:val="16"/>
              <w:rPr>
                <w:color w:val="auto"/>
              </w:rPr>
            </w:pPr>
            <w:r>
              <w:rPr>
                <w:color w:val="auto"/>
              </w:rPr>
              <w:t>4.15</w:t>
            </w:r>
          </w:p>
        </w:tc>
        <w:tc>
          <w:tcPr>
            <w:tcW w:w="1066" w:type="dxa"/>
            <w:shd w:val="clear" w:color="auto" w:fill="auto"/>
            <w:vAlign w:val="center"/>
          </w:tcPr>
          <w:p>
            <w:pPr>
              <w:pStyle w:val="16"/>
              <w:rPr>
                <w:color w:val="auto"/>
              </w:rPr>
            </w:pPr>
            <w:r>
              <w:rPr>
                <w:color w:val="auto"/>
              </w:rPr>
              <w:t>4.15</w:t>
            </w:r>
          </w:p>
        </w:tc>
        <w:tc>
          <w:tcPr>
            <w:tcW w:w="1065" w:type="dxa"/>
            <w:shd w:val="clear" w:color="auto" w:fill="auto"/>
            <w:vAlign w:val="center"/>
          </w:tcPr>
          <w:p>
            <w:pPr>
              <w:pStyle w:val="16"/>
              <w:rPr>
                <w:color w:val="auto"/>
              </w:rPr>
            </w:pPr>
            <w:r>
              <w:rPr>
                <w:color w:val="auto"/>
              </w:rPr>
              <w:t>0.00</w:t>
            </w:r>
          </w:p>
        </w:tc>
        <w:tc>
          <w:tcPr>
            <w:tcW w:w="1066" w:type="dxa"/>
            <w:shd w:val="clear" w:color="auto" w:fill="auto"/>
            <w:vAlign w:val="center"/>
          </w:tcPr>
          <w:p>
            <w:pPr>
              <w:pStyle w:val="16"/>
              <w:rPr>
                <w:color w:val="auto"/>
              </w:rPr>
            </w:pPr>
            <w:r>
              <w:rPr>
                <w:color w:val="auto"/>
              </w:rPr>
              <w:t>0.67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95" w:type="dxa"/>
            <w:gridSpan w:val="3"/>
            <w:shd w:val="clear" w:color="auto" w:fill="auto"/>
            <w:vAlign w:val="center"/>
          </w:tcPr>
          <w:p>
            <w:pPr>
              <w:pStyle w:val="16"/>
              <w:rPr>
                <w:color w:val="auto"/>
              </w:rPr>
            </w:pPr>
            <w:r>
              <w:rPr>
                <w:color w:val="auto"/>
              </w:rPr>
              <w:t>拌合站区</w:t>
            </w:r>
          </w:p>
        </w:tc>
        <w:tc>
          <w:tcPr>
            <w:tcW w:w="1065" w:type="dxa"/>
            <w:shd w:val="clear" w:color="auto" w:fill="auto"/>
            <w:vAlign w:val="center"/>
          </w:tcPr>
          <w:p>
            <w:pPr>
              <w:pStyle w:val="16"/>
              <w:rPr>
                <w:color w:val="auto"/>
              </w:rPr>
            </w:pPr>
            <w:r>
              <w:rPr>
                <w:color w:val="auto"/>
              </w:rPr>
              <w:t>0.41</w:t>
            </w:r>
          </w:p>
        </w:tc>
        <w:tc>
          <w:tcPr>
            <w:tcW w:w="1065" w:type="dxa"/>
            <w:shd w:val="clear" w:color="auto" w:fill="auto"/>
            <w:vAlign w:val="center"/>
          </w:tcPr>
          <w:p>
            <w:pPr>
              <w:pStyle w:val="16"/>
              <w:rPr>
                <w:color w:val="auto"/>
              </w:rPr>
            </w:pPr>
            <w:r>
              <w:rPr>
                <w:color w:val="auto"/>
              </w:rPr>
              <w:t>0.30</w:t>
            </w:r>
          </w:p>
        </w:tc>
        <w:tc>
          <w:tcPr>
            <w:tcW w:w="1066" w:type="dxa"/>
            <w:shd w:val="clear" w:color="auto" w:fill="auto"/>
            <w:vAlign w:val="center"/>
          </w:tcPr>
          <w:p>
            <w:pPr>
              <w:pStyle w:val="16"/>
              <w:rPr>
                <w:color w:val="auto"/>
              </w:rPr>
            </w:pPr>
          </w:p>
        </w:tc>
        <w:tc>
          <w:tcPr>
            <w:tcW w:w="1065" w:type="dxa"/>
            <w:shd w:val="clear" w:color="auto" w:fill="auto"/>
            <w:vAlign w:val="center"/>
          </w:tcPr>
          <w:p>
            <w:pPr>
              <w:pStyle w:val="16"/>
              <w:rPr>
                <w:color w:val="auto"/>
              </w:rPr>
            </w:pPr>
            <w:r>
              <w:rPr>
                <w:color w:val="auto"/>
              </w:rPr>
              <w:t>0.30</w:t>
            </w:r>
          </w:p>
        </w:tc>
        <w:tc>
          <w:tcPr>
            <w:tcW w:w="1066" w:type="dxa"/>
            <w:shd w:val="clear" w:color="auto" w:fill="auto"/>
            <w:vAlign w:val="center"/>
          </w:tcPr>
          <w:p>
            <w:pPr>
              <w:pStyle w:val="16"/>
              <w:rPr>
                <w:color w:val="auto"/>
              </w:rPr>
            </w:pPr>
            <w:r>
              <w:rPr>
                <w:color w:val="auto"/>
              </w:rPr>
              <w:t>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95" w:type="dxa"/>
            <w:gridSpan w:val="3"/>
            <w:shd w:val="clear" w:color="auto" w:fill="auto"/>
            <w:vAlign w:val="center"/>
          </w:tcPr>
          <w:p>
            <w:pPr>
              <w:pStyle w:val="16"/>
              <w:rPr>
                <w:color w:val="auto"/>
              </w:rPr>
            </w:pPr>
            <w:r>
              <w:rPr>
                <w:color w:val="auto"/>
              </w:rPr>
              <w:t>合计</w:t>
            </w:r>
          </w:p>
        </w:tc>
        <w:tc>
          <w:tcPr>
            <w:tcW w:w="1065" w:type="dxa"/>
            <w:shd w:val="clear" w:color="auto" w:fill="auto"/>
            <w:vAlign w:val="center"/>
          </w:tcPr>
          <w:p>
            <w:pPr>
              <w:pStyle w:val="16"/>
              <w:rPr>
                <w:color w:val="auto"/>
              </w:rPr>
            </w:pPr>
            <w:r>
              <w:rPr>
                <w:color w:val="auto"/>
              </w:rPr>
              <w:t>72.27</w:t>
            </w:r>
          </w:p>
        </w:tc>
        <w:tc>
          <w:tcPr>
            <w:tcW w:w="1065" w:type="dxa"/>
            <w:shd w:val="clear" w:color="auto" w:fill="auto"/>
            <w:vAlign w:val="center"/>
          </w:tcPr>
          <w:p>
            <w:pPr>
              <w:pStyle w:val="16"/>
              <w:rPr>
                <w:color w:val="auto"/>
              </w:rPr>
            </w:pPr>
            <w:r>
              <w:rPr>
                <w:color w:val="auto"/>
              </w:rPr>
              <w:t>65.09</w:t>
            </w:r>
          </w:p>
        </w:tc>
        <w:tc>
          <w:tcPr>
            <w:tcW w:w="1066" w:type="dxa"/>
            <w:shd w:val="clear" w:color="auto" w:fill="auto"/>
            <w:vAlign w:val="center"/>
          </w:tcPr>
          <w:p>
            <w:pPr>
              <w:pStyle w:val="16"/>
              <w:rPr>
                <w:color w:val="auto"/>
              </w:rPr>
            </w:pPr>
            <w:r>
              <w:rPr>
                <w:color w:val="auto"/>
              </w:rPr>
              <w:t>62.53</w:t>
            </w:r>
          </w:p>
        </w:tc>
        <w:tc>
          <w:tcPr>
            <w:tcW w:w="1065" w:type="dxa"/>
            <w:shd w:val="clear" w:color="auto" w:fill="auto"/>
            <w:vAlign w:val="center"/>
          </w:tcPr>
          <w:p>
            <w:pPr>
              <w:pStyle w:val="16"/>
              <w:rPr>
                <w:color w:val="auto"/>
              </w:rPr>
            </w:pPr>
            <w:r>
              <w:rPr>
                <w:color w:val="auto"/>
              </w:rPr>
              <w:t>2.56</w:t>
            </w:r>
          </w:p>
        </w:tc>
        <w:tc>
          <w:tcPr>
            <w:tcW w:w="1066" w:type="dxa"/>
            <w:shd w:val="clear" w:color="auto" w:fill="auto"/>
            <w:vAlign w:val="center"/>
          </w:tcPr>
          <w:p>
            <w:pPr>
              <w:pStyle w:val="16"/>
              <w:rPr>
                <w:color w:val="auto"/>
              </w:rPr>
            </w:pPr>
            <w:r>
              <w:rPr>
                <w:color w:val="auto"/>
              </w:rPr>
              <w:t>7.18</w:t>
            </w:r>
          </w:p>
        </w:tc>
      </w:tr>
    </w:tbl>
    <w:p>
      <w:pPr>
        <w:pStyle w:val="4"/>
        <w:rPr>
          <w:rFonts w:hint="eastAsia"/>
          <w:color w:val="auto"/>
          <w:lang w:eastAsia="zh-CN"/>
        </w:rPr>
      </w:pPr>
      <w:r>
        <w:rPr>
          <w:rFonts w:hint="eastAsia"/>
          <w:color w:val="auto"/>
          <w:lang w:val="en-US" w:eastAsia="zh-CN"/>
        </w:rPr>
        <w:t>3.1.2</w:t>
      </w:r>
      <w:r>
        <w:rPr>
          <w:rFonts w:hint="eastAsia"/>
          <w:color w:val="auto"/>
          <w:lang w:eastAsia="zh-CN"/>
        </w:rPr>
        <w:t>实际水土流失防治责任范围变化情况</w:t>
      </w:r>
    </w:p>
    <w:p>
      <w:pPr>
        <w:keepNext w:val="0"/>
        <w:keepLines w:val="0"/>
        <w:pageBreakBefore w:val="0"/>
        <w:widowControl w:val="0"/>
        <w:kinsoku/>
        <w:wordWrap/>
        <w:overflowPunct/>
        <w:topLinePunct/>
        <w:autoSpaceDE/>
        <w:autoSpaceDN/>
        <w:bidi w:val="0"/>
        <w:adjustRightInd w:val="0"/>
        <w:snapToGrid w:val="0"/>
        <w:spacing w:before="157" w:beforeLines="50" w:after="157" w:afterLines="50" w:line="360" w:lineRule="auto"/>
        <w:ind w:left="0" w:leftChars="0" w:right="0" w:rightChars="0" w:firstLine="480" w:firstLineChars="200"/>
        <w:jc w:val="both"/>
        <w:textAlignment w:val="auto"/>
        <w:outlineLvl w:val="9"/>
        <w:rPr>
          <w:rFonts w:hint="eastAsia"/>
          <w:color w:val="auto"/>
          <w:lang w:eastAsia="zh-CN"/>
        </w:rPr>
      </w:pPr>
      <w:r>
        <w:rPr>
          <w:rFonts w:hint="eastAsia"/>
          <w:color w:val="auto"/>
          <w:lang w:eastAsia="zh-CN"/>
        </w:rPr>
        <w:t>根据现场监测，项目实际防治责任范围为</w:t>
      </w:r>
      <w:r>
        <w:rPr>
          <w:rFonts w:hint="eastAsia"/>
          <w:color w:val="auto"/>
          <w:lang w:val="en-US" w:eastAsia="zh-CN"/>
        </w:rPr>
        <w:t>64.15</w:t>
      </w:r>
      <w:r>
        <w:rPr>
          <w:rFonts w:hint="eastAsia"/>
          <w:color w:val="auto"/>
          <w:lang w:eastAsia="zh-CN"/>
        </w:rPr>
        <w:t>hm</w:t>
      </w:r>
      <w:r>
        <w:rPr>
          <w:rFonts w:hint="eastAsia"/>
          <w:color w:val="auto"/>
          <w:vertAlign w:val="superscript"/>
          <w:lang w:val="en-US" w:eastAsia="zh-CN"/>
        </w:rPr>
        <w:t>2</w:t>
      </w:r>
      <w:r>
        <w:rPr>
          <w:rFonts w:hint="eastAsia"/>
          <w:color w:val="auto"/>
          <w:lang w:eastAsia="zh-CN"/>
        </w:rPr>
        <w:t>，均为建设区面积，无直接影响区面积，防治责任范围变化情况具体见表</w:t>
      </w:r>
      <w:r>
        <w:rPr>
          <w:rFonts w:hint="eastAsia"/>
          <w:color w:val="auto"/>
          <w:lang w:val="en-US" w:eastAsia="zh-CN"/>
        </w:rPr>
        <w:t>3-2</w:t>
      </w:r>
      <w:r>
        <w:rPr>
          <w:rFonts w:hint="eastAsia"/>
          <w:color w:val="auto"/>
          <w:lang w:eastAsia="zh-CN"/>
        </w:rPr>
        <w:t>。</w:t>
      </w:r>
    </w:p>
    <w:p>
      <w:pPr>
        <w:pStyle w:val="6"/>
        <w:rPr>
          <w:rFonts w:hint="eastAsia"/>
          <w:color w:val="auto"/>
          <w:lang w:val="en-US" w:eastAsia="zh-CN"/>
        </w:rPr>
      </w:pPr>
    </w:p>
    <w:p>
      <w:pPr>
        <w:rPr>
          <w:rFonts w:hint="eastAsia" w:eastAsia="仿宋"/>
          <w:color w:val="auto"/>
          <w:sz w:val="24"/>
          <w:szCs w:val="24"/>
          <w:lang w:val="en-US" w:eastAsia="zh-CN"/>
        </w:rPr>
        <w:sectPr>
          <w:headerReference r:id="rId10" w:type="default"/>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17"/>
        <w:rPr>
          <w:rFonts w:hint="eastAsia"/>
          <w:color w:val="auto"/>
          <w:lang w:val="en-US" w:eastAsia="zh-CN"/>
        </w:rPr>
      </w:pPr>
      <w:r>
        <w:rPr>
          <w:rFonts w:hint="eastAsia"/>
          <w:color w:val="auto"/>
          <w:lang w:val="en-US" w:eastAsia="zh-CN"/>
        </w:rPr>
        <w:t>表3-2 防治责任范围变化情况 单位：hm</w:t>
      </w:r>
      <w:r>
        <w:rPr>
          <w:rFonts w:hint="eastAsia"/>
          <w:color w:val="auto"/>
          <w:vertAlign w:val="superscript"/>
          <w:lang w:val="en-US" w:eastAsia="zh-CN"/>
        </w:rPr>
        <w:t>2</w:t>
      </w:r>
    </w:p>
    <w:tbl>
      <w:tblPr>
        <w:tblStyle w:val="11"/>
        <w:tblW w:w="15428" w:type="dxa"/>
        <w:tblInd w:w="0" w:type="dxa"/>
        <w:shd w:val="clear" w:color="auto" w:fill="auto"/>
        <w:tblLayout w:type="fixed"/>
        <w:tblCellMar>
          <w:top w:w="0" w:type="dxa"/>
          <w:left w:w="0" w:type="dxa"/>
          <w:bottom w:w="0" w:type="dxa"/>
          <w:right w:w="0" w:type="dxa"/>
        </w:tblCellMar>
      </w:tblPr>
      <w:tblGrid>
        <w:gridCol w:w="691"/>
        <w:gridCol w:w="297"/>
        <w:gridCol w:w="942"/>
        <w:gridCol w:w="1189"/>
        <w:gridCol w:w="1189"/>
        <w:gridCol w:w="1186"/>
        <w:gridCol w:w="1189"/>
        <w:gridCol w:w="1189"/>
        <w:gridCol w:w="1187"/>
        <w:gridCol w:w="1189"/>
        <w:gridCol w:w="1189"/>
        <w:gridCol w:w="1371"/>
        <w:gridCol w:w="2620"/>
      </w:tblGrid>
      <w:tr>
        <w:tblPrEx>
          <w:shd w:val="clear" w:color="auto" w:fill="auto"/>
          <w:tblCellMar>
            <w:top w:w="0" w:type="dxa"/>
            <w:left w:w="0" w:type="dxa"/>
            <w:bottom w:w="0" w:type="dxa"/>
            <w:right w:w="0" w:type="dxa"/>
          </w:tblCellMar>
        </w:tblPrEx>
        <w:trPr>
          <w:trHeight w:val="283" w:hRule="atLeast"/>
        </w:trPr>
        <w:tc>
          <w:tcPr>
            <w:tcW w:w="1930" w:type="dxa"/>
            <w:gridSpan w:val="3"/>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项目组成</w:t>
            </w:r>
          </w:p>
        </w:tc>
        <w:tc>
          <w:tcPr>
            <w:tcW w:w="3564" w:type="dxa"/>
            <w:gridSpan w:val="3"/>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方案设计防治责任范围</w:t>
            </w:r>
          </w:p>
        </w:tc>
        <w:tc>
          <w:tcPr>
            <w:tcW w:w="3565" w:type="dxa"/>
            <w:gridSpan w:val="3"/>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实际防治责任范围</w:t>
            </w:r>
          </w:p>
        </w:tc>
        <w:tc>
          <w:tcPr>
            <w:tcW w:w="3749" w:type="dxa"/>
            <w:gridSpan w:val="3"/>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变化情况</w:t>
            </w:r>
          </w:p>
        </w:tc>
        <w:tc>
          <w:tcPr>
            <w:tcW w:w="2620"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备注</w:t>
            </w:r>
          </w:p>
        </w:tc>
      </w:tr>
      <w:tr>
        <w:tblPrEx>
          <w:tblCellMar>
            <w:top w:w="0" w:type="dxa"/>
            <w:left w:w="0" w:type="dxa"/>
            <w:bottom w:w="0" w:type="dxa"/>
            <w:right w:w="0" w:type="dxa"/>
          </w:tblCellMar>
        </w:tblPrEx>
        <w:trPr>
          <w:trHeight w:val="312" w:hRule="atLeast"/>
        </w:trPr>
        <w:tc>
          <w:tcPr>
            <w:tcW w:w="691"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一级分区</w:t>
            </w:r>
          </w:p>
        </w:tc>
        <w:tc>
          <w:tcPr>
            <w:tcW w:w="1239" w:type="dxa"/>
            <w:gridSpan w:val="2"/>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二级分区</w:t>
            </w:r>
          </w:p>
        </w:tc>
        <w:tc>
          <w:tcPr>
            <w:tcW w:w="1189"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项目建设区</w:t>
            </w:r>
          </w:p>
        </w:tc>
        <w:tc>
          <w:tcPr>
            <w:tcW w:w="1189"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直接影响区</w:t>
            </w:r>
          </w:p>
        </w:tc>
        <w:tc>
          <w:tcPr>
            <w:tcW w:w="1186"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小计</w:t>
            </w:r>
          </w:p>
        </w:tc>
        <w:tc>
          <w:tcPr>
            <w:tcW w:w="1189"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项目建设区</w:t>
            </w:r>
          </w:p>
        </w:tc>
        <w:tc>
          <w:tcPr>
            <w:tcW w:w="1189"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直接影响区</w:t>
            </w:r>
          </w:p>
        </w:tc>
        <w:tc>
          <w:tcPr>
            <w:tcW w:w="1187"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小计</w:t>
            </w:r>
          </w:p>
        </w:tc>
        <w:tc>
          <w:tcPr>
            <w:tcW w:w="1189"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项目建设区</w:t>
            </w:r>
          </w:p>
        </w:tc>
        <w:tc>
          <w:tcPr>
            <w:tcW w:w="1189"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直接影响区</w:t>
            </w:r>
          </w:p>
        </w:tc>
        <w:tc>
          <w:tcPr>
            <w:tcW w:w="1371"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小计</w:t>
            </w:r>
          </w:p>
        </w:tc>
        <w:tc>
          <w:tcPr>
            <w:tcW w:w="2620"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　</w:t>
            </w:r>
          </w:p>
        </w:tc>
      </w:tr>
      <w:tr>
        <w:tblPrEx>
          <w:tblCellMar>
            <w:top w:w="0" w:type="dxa"/>
            <w:left w:w="0" w:type="dxa"/>
            <w:bottom w:w="0" w:type="dxa"/>
            <w:right w:w="0" w:type="dxa"/>
          </w:tblCellMar>
        </w:tblPrEx>
        <w:trPr>
          <w:trHeight w:val="312" w:hRule="atLeast"/>
        </w:trPr>
        <w:tc>
          <w:tcPr>
            <w:tcW w:w="691"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p>
        </w:tc>
        <w:tc>
          <w:tcPr>
            <w:tcW w:w="1239" w:type="dxa"/>
            <w:gridSpan w:val="2"/>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p>
        </w:tc>
        <w:tc>
          <w:tcPr>
            <w:tcW w:w="1189"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p>
        </w:tc>
        <w:tc>
          <w:tcPr>
            <w:tcW w:w="1189"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p>
        </w:tc>
        <w:tc>
          <w:tcPr>
            <w:tcW w:w="1186"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p>
        </w:tc>
        <w:tc>
          <w:tcPr>
            <w:tcW w:w="1189"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p>
        </w:tc>
        <w:tc>
          <w:tcPr>
            <w:tcW w:w="1189"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p>
        </w:tc>
        <w:tc>
          <w:tcPr>
            <w:tcW w:w="1187"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p>
        </w:tc>
        <w:tc>
          <w:tcPr>
            <w:tcW w:w="1189"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p>
        </w:tc>
        <w:tc>
          <w:tcPr>
            <w:tcW w:w="1189"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p>
        </w:tc>
        <w:tc>
          <w:tcPr>
            <w:tcW w:w="1371"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p>
        </w:tc>
        <w:tc>
          <w:tcPr>
            <w:tcW w:w="2620"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p>
        </w:tc>
      </w:tr>
      <w:tr>
        <w:tblPrEx>
          <w:tblCellMar>
            <w:top w:w="0" w:type="dxa"/>
            <w:left w:w="0" w:type="dxa"/>
            <w:bottom w:w="0" w:type="dxa"/>
            <w:right w:w="0" w:type="dxa"/>
          </w:tblCellMar>
        </w:tblPrEx>
        <w:trPr>
          <w:trHeight w:val="283" w:hRule="atLeast"/>
        </w:trPr>
        <w:tc>
          <w:tcPr>
            <w:tcW w:w="1930" w:type="dxa"/>
            <w:gridSpan w:val="3"/>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路基工程区</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58.19</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5.85</w:t>
            </w:r>
          </w:p>
        </w:tc>
        <w:tc>
          <w:tcPr>
            <w:tcW w:w="118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64.04</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58.19</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18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58.19</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-5.85</w:t>
            </w:r>
          </w:p>
        </w:tc>
        <w:tc>
          <w:tcPr>
            <w:tcW w:w="137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-5.85</w:t>
            </w:r>
          </w:p>
        </w:tc>
        <w:tc>
          <w:tcPr>
            <w:tcW w:w="262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　</w:t>
            </w:r>
          </w:p>
        </w:tc>
      </w:tr>
      <w:tr>
        <w:tblPrEx>
          <w:tblCellMar>
            <w:top w:w="0" w:type="dxa"/>
            <w:left w:w="0" w:type="dxa"/>
            <w:bottom w:w="0" w:type="dxa"/>
            <w:right w:w="0" w:type="dxa"/>
          </w:tblCellMar>
        </w:tblPrEx>
        <w:trPr>
          <w:trHeight w:val="283" w:hRule="atLeast"/>
        </w:trPr>
        <w:tc>
          <w:tcPr>
            <w:tcW w:w="1930" w:type="dxa"/>
            <w:gridSpan w:val="3"/>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桥梁工程区</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0.19</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18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0.19</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0.19</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18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0.19</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37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262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　</w:t>
            </w:r>
          </w:p>
        </w:tc>
      </w:tr>
      <w:tr>
        <w:tblPrEx>
          <w:tblCellMar>
            <w:top w:w="0" w:type="dxa"/>
            <w:left w:w="0" w:type="dxa"/>
            <w:bottom w:w="0" w:type="dxa"/>
            <w:right w:w="0" w:type="dxa"/>
          </w:tblCellMar>
        </w:tblPrEx>
        <w:trPr>
          <w:trHeight w:val="283" w:hRule="atLeast"/>
        </w:trPr>
        <w:tc>
          <w:tcPr>
            <w:tcW w:w="1930" w:type="dxa"/>
            <w:gridSpan w:val="3"/>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料场区</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2.26</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0.55</w:t>
            </w:r>
          </w:p>
        </w:tc>
        <w:tc>
          <w:tcPr>
            <w:tcW w:w="118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2.81</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2.26</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18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2.26</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-0.55</w:t>
            </w:r>
          </w:p>
        </w:tc>
        <w:tc>
          <w:tcPr>
            <w:tcW w:w="137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-0.55</w:t>
            </w:r>
          </w:p>
        </w:tc>
        <w:tc>
          <w:tcPr>
            <w:tcW w:w="262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　</w:t>
            </w:r>
          </w:p>
        </w:tc>
      </w:tr>
      <w:tr>
        <w:tblPrEx>
          <w:tblCellMar>
            <w:top w:w="0" w:type="dxa"/>
            <w:left w:w="0" w:type="dxa"/>
            <w:bottom w:w="0" w:type="dxa"/>
            <w:right w:w="0" w:type="dxa"/>
          </w:tblCellMar>
        </w:tblPrEx>
        <w:trPr>
          <w:trHeight w:val="283" w:hRule="atLeast"/>
        </w:trPr>
        <w:tc>
          <w:tcPr>
            <w:tcW w:w="988" w:type="dxa"/>
            <w:gridSpan w:val="2"/>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弃渣场区</w:t>
            </w:r>
          </w:p>
        </w:tc>
        <w:tc>
          <w:tcPr>
            <w:tcW w:w="94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1#</w:t>
            </w:r>
            <w:r>
              <w:rPr>
                <w:color w:val="auto"/>
                <w:lang w:val="en-US" w:eastAsia="zh-CN"/>
              </w:rPr>
              <w:t>弃渣场</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0.46</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18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0.46</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0.46</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18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0.46</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37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262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　</w:t>
            </w:r>
          </w:p>
        </w:tc>
      </w:tr>
      <w:tr>
        <w:tblPrEx>
          <w:tblCellMar>
            <w:top w:w="0" w:type="dxa"/>
            <w:left w:w="0" w:type="dxa"/>
            <w:bottom w:w="0" w:type="dxa"/>
            <w:right w:w="0" w:type="dxa"/>
          </w:tblCellMar>
        </w:tblPrEx>
        <w:trPr>
          <w:trHeight w:val="283" w:hRule="atLeast"/>
        </w:trPr>
        <w:tc>
          <w:tcPr>
            <w:tcW w:w="988" w:type="dxa"/>
            <w:gridSpan w:val="2"/>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p>
        </w:tc>
        <w:tc>
          <w:tcPr>
            <w:tcW w:w="94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2#</w:t>
            </w:r>
            <w:r>
              <w:rPr>
                <w:color w:val="auto"/>
                <w:lang w:val="en-US" w:eastAsia="zh-CN"/>
              </w:rPr>
              <w:t>弃渣场</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0.79</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18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0.79</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0.79</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18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0.79</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37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262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　</w:t>
            </w:r>
          </w:p>
        </w:tc>
      </w:tr>
      <w:tr>
        <w:tblPrEx>
          <w:tblCellMar>
            <w:top w:w="0" w:type="dxa"/>
            <w:left w:w="0" w:type="dxa"/>
            <w:bottom w:w="0" w:type="dxa"/>
            <w:right w:w="0" w:type="dxa"/>
          </w:tblCellMar>
        </w:tblPrEx>
        <w:trPr>
          <w:trHeight w:val="283" w:hRule="atLeast"/>
        </w:trPr>
        <w:tc>
          <w:tcPr>
            <w:tcW w:w="988" w:type="dxa"/>
            <w:gridSpan w:val="2"/>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p>
        </w:tc>
        <w:tc>
          <w:tcPr>
            <w:tcW w:w="94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3#</w:t>
            </w:r>
            <w:r>
              <w:rPr>
                <w:color w:val="auto"/>
                <w:lang w:val="en-US" w:eastAsia="zh-CN"/>
              </w:rPr>
              <w:t>弃渣场</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0.86</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18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0.86</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0.86</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18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0.86</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37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262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　</w:t>
            </w:r>
          </w:p>
        </w:tc>
      </w:tr>
      <w:tr>
        <w:tblPrEx>
          <w:tblCellMar>
            <w:top w:w="0" w:type="dxa"/>
            <w:left w:w="0" w:type="dxa"/>
            <w:bottom w:w="0" w:type="dxa"/>
            <w:right w:w="0" w:type="dxa"/>
          </w:tblCellMar>
        </w:tblPrEx>
        <w:trPr>
          <w:trHeight w:val="283" w:hRule="atLeast"/>
        </w:trPr>
        <w:tc>
          <w:tcPr>
            <w:tcW w:w="988" w:type="dxa"/>
            <w:gridSpan w:val="2"/>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p>
        </w:tc>
        <w:tc>
          <w:tcPr>
            <w:tcW w:w="94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4#</w:t>
            </w:r>
            <w:r>
              <w:rPr>
                <w:color w:val="auto"/>
                <w:lang w:val="en-US" w:eastAsia="zh-CN"/>
              </w:rPr>
              <w:t>弃渣场</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0.63</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18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0.63</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18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-0.63</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37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-0.63</w:t>
            </w:r>
          </w:p>
        </w:tc>
        <w:tc>
          <w:tcPr>
            <w:tcW w:w="262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已被养兔场征用</w:t>
            </w:r>
          </w:p>
        </w:tc>
      </w:tr>
      <w:tr>
        <w:tblPrEx>
          <w:tblCellMar>
            <w:top w:w="0" w:type="dxa"/>
            <w:left w:w="0" w:type="dxa"/>
            <w:bottom w:w="0" w:type="dxa"/>
            <w:right w:w="0" w:type="dxa"/>
          </w:tblCellMar>
        </w:tblPrEx>
        <w:trPr>
          <w:trHeight w:val="283" w:hRule="atLeast"/>
        </w:trPr>
        <w:tc>
          <w:tcPr>
            <w:tcW w:w="988" w:type="dxa"/>
            <w:gridSpan w:val="2"/>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p>
        </w:tc>
        <w:tc>
          <w:tcPr>
            <w:tcW w:w="94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5#</w:t>
            </w:r>
            <w:r>
              <w:rPr>
                <w:color w:val="auto"/>
                <w:lang w:val="en-US" w:eastAsia="zh-CN"/>
              </w:rPr>
              <w:t>弃渣场</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1.1</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0.49</w:t>
            </w:r>
          </w:p>
        </w:tc>
        <w:tc>
          <w:tcPr>
            <w:tcW w:w="118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1.59</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1.1</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18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1.1</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-0.49</w:t>
            </w:r>
          </w:p>
        </w:tc>
        <w:tc>
          <w:tcPr>
            <w:tcW w:w="137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-0.49</w:t>
            </w:r>
          </w:p>
        </w:tc>
        <w:tc>
          <w:tcPr>
            <w:tcW w:w="262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　</w:t>
            </w:r>
          </w:p>
        </w:tc>
      </w:tr>
      <w:tr>
        <w:tblPrEx>
          <w:tblCellMar>
            <w:top w:w="0" w:type="dxa"/>
            <w:left w:w="0" w:type="dxa"/>
            <w:bottom w:w="0" w:type="dxa"/>
            <w:right w:w="0" w:type="dxa"/>
          </w:tblCellMar>
        </w:tblPrEx>
        <w:trPr>
          <w:trHeight w:val="283" w:hRule="atLeast"/>
        </w:trPr>
        <w:tc>
          <w:tcPr>
            <w:tcW w:w="988" w:type="dxa"/>
            <w:gridSpan w:val="2"/>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p>
        </w:tc>
        <w:tc>
          <w:tcPr>
            <w:tcW w:w="94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6#</w:t>
            </w:r>
            <w:r>
              <w:rPr>
                <w:color w:val="auto"/>
                <w:lang w:val="en-US" w:eastAsia="zh-CN"/>
              </w:rPr>
              <w:t>弃渣场</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0.31</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0.18</w:t>
            </w:r>
          </w:p>
        </w:tc>
        <w:tc>
          <w:tcPr>
            <w:tcW w:w="118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0.49</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18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-0.31</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-0.18</w:t>
            </w:r>
          </w:p>
        </w:tc>
        <w:tc>
          <w:tcPr>
            <w:tcW w:w="137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-0.49</w:t>
            </w:r>
          </w:p>
        </w:tc>
        <w:tc>
          <w:tcPr>
            <w:tcW w:w="262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color w:val="auto"/>
              </w:rPr>
            </w:pPr>
            <w:r>
              <w:rPr>
                <w:rFonts w:hint="eastAsia"/>
                <w:color w:val="auto"/>
                <w:lang w:val="en-US" w:eastAsia="zh-CN"/>
              </w:rPr>
              <w:t>已被西城区教育城项目征用</w:t>
            </w:r>
          </w:p>
        </w:tc>
      </w:tr>
      <w:tr>
        <w:tblPrEx>
          <w:tblCellMar>
            <w:top w:w="0" w:type="dxa"/>
            <w:left w:w="0" w:type="dxa"/>
            <w:bottom w:w="0" w:type="dxa"/>
            <w:right w:w="0" w:type="dxa"/>
          </w:tblCellMar>
        </w:tblPrEx>
        <w:trPr>
          <w:trHeight w:val="283" w:hRule="atLeast"/>
        </w:trPr>
        <w:tc>
          <w:tcPr>
            <w:tcW w:w="988" w:type="dxa"/>
            <w:gridSpan w:val="2"/>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p>
        </w:tc>
        <w:tc>
          <w:tcPr>
            <w:tcW w:w="94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合计</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4.15</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0.67</w:t>
            </w:r>
          </w:p>
        </w:tc>
        <w:tc>
          <w:tcPr>
            <w:tcW w:w="118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4.82</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3.21</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18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3.21</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-0.94</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-0.67</w:t>
            </w:r>
          </w:p>
        </w:tc>
        <w:tc>
          <w:tcPr>
            <w:tcW w:w="137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-1.61</w:t>
            </w:r>
          </w:p>
        </w:tc>
        <w:tc>
          <w:tcPr>
            <w:tcW w:w="262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　</w:t>
            </w:r>
          </w:p>
        </w:tc>
      </w:tr>
      <w:tr>
        <w:tblPrEx>
          <w:tblCellMar>
            <w:top w:w="0" w:type="dxa"/>
            <w:left w:w="0" w:type="dxa"/>
            <w:bottom w:w="0" w:type="dxa"/>
            <w:right w:w="0" w:type="dxa"/>
          </w:tblCellMar>
        </w:tblPrEx>
        <w:trPr>
          <w:trHeight w:val="283" w:hRule="atLeast"/>
        </w:trPr>
        <w:tc>
          <w:tcPr>
            <w:tcW w:w="1930" w:type="dxa"/>
            <w:gridSpan w:val="3"/>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拌合站区</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0.3</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0.11</w:t>
            </w:r>
          </w:p>
        </w:tc>
        <w:tc>
          <w:tcPr>
            <w:tcW w:w="118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0.41</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0.3</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18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0.3</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-0.11</w:t>
            </w:r>
          </w:p>
        </w:tc>
        <w:tc>
          <w:tcPr>
            <w:tcW w:w="137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-0.11</w:t>
            </w:r>
          </w:p>
        </w:tc>
        <w:tc>
          <w:tcPr>
            <w:tcW w:w="262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　</w:t>
            </w:r>
          </w:p>
        </w:tc>
      </w:tr>
      <w:tr>
        <w:tblPrEx>
          <w:tblCellMar>
            <w:top w:w="0" w:type="dxa"/>
            <w:left w:w="0" w:type="dxa"/>
            <w:bottom w:w="0" w:type="dxa"/>
            <w:right w:w="0" w:type="dxa"/>
          </w:tblCellMar>
        </w:tblPrEx>
        <w:trPr>
          <w:trHeight w:val="283" w:hRule="atLeast"/>
        </w:trPr>
        <w:tc>
          <w:tcPr>
            <w:tcW w:w="1930" w:type="dxa"/>
            <w:gridSpan w:val="3"/>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合计</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65.09</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7.18</w:t>
            </w:r>
          </w:p>
        </w:tc>
        <w:tc>
          <w:tcPr>
            <w:tcW w:w="118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72.27</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64.15</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18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64.15</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-0.94</w:t>
            </w:r>
          </w:p>
        </w:tc>
        <w:tc>
          <w:tcPr>
            <w:tcW w:w="11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-7.18</w:t>
            </w:r>
          </w:p>
        </w:tc>
        <w:tc>
          <w:tcPr>
            <w:tcW w:w="137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-8.12</w:t>
            </w:r>
          </w:p>
        </w:tc>
        <w:tc>
          <w:tcPr>
            <w:tcW w:w="262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　</w:t>
            </w:r>
          </w:p>
        </w:tc>
      </w:tr>
    </w:tbl>
    <w:p>
      <w:pPr>
        <w:rPr>
          <w:rFonts w:hint="eastAsia"/>
          <w:color w:val="auto"/>
          <w:lang w:eastAsia="zh-CN"/>
        </w:rPr>
        <w:sectPr>
          <w:pgSz w:w="16838" w:h="11906" w:orient="landscape"/>
          <w:pgMar w:top="720" w:right="720" w:bottom="720" w:left="72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color w:val="auto"/>
          <w:lang w:eastAsia="zh-CN"/>
        </w:rPr>
        <w:t>注：“</w:t>
      </w:r>
      <w:r>
        <w:rPr>
          <w:rFonts w:hint="eastAsia"/>
          <w:color w:val="auto"/>
          <w:lang w:val="en-US" w:eastAsia="zh-CN"/>
        </w:rPr>
        <w:t>+</w:t>
      </w:r>
      <w:r>
        <w:rPr>
          <w:rFonts w:hint="eastAsia"/>
          <w:color w:val="auto"/>
          <w:lang w:eastAsia="zh-CN"/>
        </w:rPr>
        <w:t>”为增加，“</w:t>
      </w:r>
      <w:r>
        <w:rPr>
          <w:rFonts w:hint="eastAsia"/>
          <w:color w:val="auto"/>
          <w:lang w:val="en-US" w:eastAsia="zh-CN"/>
        </w:rPr>
        <w:t>-</w:t>
      </w:r>
      <w:r>
        <w:rPr>
          <w:rFonts w:hint="eastAsia"/>
          <w:color w:val="auto"/>
          <w:lang w:eastAsia="zh-CN"/>
        </w:rPr>
        <w:t>”为减少。</w:t>
      </w:r>
    </w:p>
    <w:p>
      <w:pPr>
        <w:pStyle w:val="4"/>
        <w:rPr>
          <w:rFonts w:hint="default"/>
          <w:color w:val="auto"/>
        </w:rPr>
      </w:pPr>
      <w:r>
        <w:rPr>
          <w:rFonts w:hint="default"/>
          <w:color w:val="auto"/>
        </w:rPr>
        <w:t>3.1.</w:t>
      </w:r>
      <w:r>
        <w:rPr>
          <w:rFonts w:hint="eastAsia"/>
          <w:color w:val="auto"/>
          <w:lang w:val="en-US" w:eastAsia="zh-CN"/>
        </w:rPr>
        <w:t>3</w:t>
      </w:r>
      <w:r>
        <w:rPr>
          <w:rFonts w:hint="default"/>
          <w:color w:val="auto"/>
        </w:rPr>
        <w:t>建设期扰动土地面积</w:t>
      </w:r>
    </w:p>
    <w:p>
      <w:pPr>
        <w:rPr>
          <w:rFonts w:hint="default" w:ascii="Times New Roman" w:hAnsi="Times New Roman" w:eastAsia="仿宋_GB2312" w:cs="Times New Roman"/>
          <w:color w:val="auto"/>
          <w:spacing w:val="0"/>
          <w:sz w:val="24"/>
          <w:szCs w:val="28"/>
        </w:rPr>
      </w:pPr>
      <w:r>
        <w:rPr>
          <w:color w:val="auto"/>
        </w:rPr>
        <w:t>经过对项目的跟踪巡查，利用 1：2000 的地形图对地表扰动情况及各种扰动类型的占地情况进行现场勾绘，结合业主提供的工程进展资料统计分析，得出本项目的施工扰动情况。监测结果显示，截止20</w:t>
      </w:r>
      <w:r>
        <w:rPr>
          <w:rFonts w:hint="eastAsia"/>
          <w:color w:val="auto"/>
          <w:lang w:val="en-US" w:eastAsia="zh-CN"/>
        </w:rPr>
        <w:t>20</w:t>
      </w:r>
      <w:r>
        <w:rPr>
          <w:color w:val="auto"/>
        </w:rPr>
        <w:t>年底，</w:t>
      </w:r>
      <w:r>
        <w:rPr>
          <w:rFonts w:hint="eastAsia"/>
          <w:color w:val="auto"/>
          <w:lang w:eastAsia="zh-CN"/>
        </w:rPr>
        <w:t>项目区已全部扰动，扰动面积为</w:t>
      </w:r>
      <w:r>
        <w:rPr>
          <w:rFonts w:hint="eastAsia"/>
          <w:color w:val="auto"/>
          <w:lang w:val="en-US" w:eastAsia="zh-CN"/>
        </w:rPr>
        <w:t>64.73hm</w:t>
      </w:r>
      <w:r>
        <w:rPr>
          <w:rFonts w:hint="eastAsia"/>
          <w:color w:val="auto"/>
          <w:vertAlign w:val="superscript"/>
          <w:lang w:val="en-US" w:eastAsia="zh-CN"/>
        </w:rPr>
        <w:t>2</w:t>
      </w:r>
      <w:r>
        <w:rPr>
          <w:rFonts w:hint="eastAsia"/>
          <w:color w:val="auto"/>
          <w:lang w:val="en-US" w:eastAsia="zh-CN"/>
        </w:rPr>
        <w:t>，地表扰动率为99.45%</w:t>
      </w:r>
      <w:r>
        <w:rPr>
          <w:color w:val="auto"/>
          <w:spacing w:val="3"/>
        </w:rPr>
        <w:t>。</w:t>
      </w:r>
      <w:r>
        <w:rPr>
          <w:rFonts w:hint="default" w:ascii="Times New Roman" w:hAnsi="Times New Roman" w:eastAsia="仿宋_GB2312" w:cs="Times New Roman"/>
          <w:color w:val="auto"/>
          <w:spacing w:val="0"/>
          <w:sz w:val="24"/>
        </w:rPr>
        <w:t>项目建设期实际扰动地表面积</w:t>
      </w:r>
      <w:r>
        <w:rPr>
          <w:rFonts w:hint="eastAsia" w:cs="Times New Roman"/>
          <w:color w:val="auto"/>
          <w:spacing w:val="0"/>
          <w:sz w:val="24"/>
          <w:lang w:eastAsia="zh-CN"/>
        </w:rPr>
        <w:t>年度统计</w:t>
      </w:r>
      <w:r>
        <w:rPr>
          <w:rFonts w:hint="default" w:ascii="Times New Roman" w:hAnsi="Times New Roman" w:eastAsia="仿宋_GB2312" w:cs="Times New Roman"/>
          <w:color w:val="auto"/>
          <w:spacing w:val="0"/>
          <w:sz w:val="24"/>
        </w:rPr>
        <w:t>详见表3-</w:t>
      </w:r>
      <w:r>
        <w:rPr>
          <w:rFonts w:hint="eastAsia" w:cs="Times New Roman"/>
          <w:color w:val="auto"/>
          <w:spacing w:val="0"/>
          <w:sz w:val="24"/>
          <w:lang w:val="en-US" w:eastAsia="zh-CN"/>
        </w:rPr>
        <w:t>3</w:t>
      </w:r>
      <w:r>
        <w:rPr>
          <w:rFonts w:hint="default" w:ascii="Times New Roman" w:hAnsi="Times New Roman" w:eastAsia="仿宋_GB2312" w:cs="Times New Roman"/>
          <w:color w:val="auto"/>
          <w:spacing w:val="0"/>
          <w:sz w:val="24"/>
        </w:rPr>
        <w:t>。</w:t>
      </w:r>
    </w:p>
    <w:p>
      <w:pPr>
        <w:pStyle w:val="17"/>
        <w:rPr>
          <w:rFonts w:hint="eastAsia"/>
          <w:color w:val="auto"/>
          <w:lang w:eastAsia="zh-CN"/>
        </w:rPr>
      </w:pPr>
      <w:r>
        <w:rPr>
          <w:rFonts w:hint="default"/>
          <w:color w:val="auto"/>
        </w:rPr>
        <w:t>表3-3       项目建设区实际扰动地表面积</w:t>
      </w:r>
      <w:r>
        <w:rPr>
          <w:rFonts w:hint="eastAsia"/>
          <w:color w:val="auto"/>
          <w:lang w:eastAsia="zh-CN"/>
        </w:rPr>
        <w:t>年度</w:t>
      </w:r>
      <w:r>
        <w:rPr>
          <w:rFonts w:hint="default"/>
          <w:color w:val="auto"/>
        </w:rPr>
        <w:t>统计表       单位：h</w:t>
      </w:r>
      <w:r>
        <w:rPr>
          <w:rFonts w:hint="eastAsia"/>
          <w:color w:val="auto"/>
          <w:lang w:eastAsia="zh-CN"/>
        </w:rPr>
        <w:t>m</w:t>
      </w:r>
      <w:r>
        <w:rPr>
          <w:rFonts w:hint="eastAsia"/>
          <w:color w:val="auto"/>
          <w:vertAlign w:val="superscript"/>
          <w:lang w:val="en-US" w:eastAsia="zh-CN"/>
        </w:rPr>
        <w:t>2</w:t>
      </w:r>
    </w:p>
    <w:tbl>
      <w:tblPr>
        <w:tblStyle w:val="11"/>
        <w:tblW w:w="833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0" w:type="dxa"/>
          <w:bottom w:w="0" w:type="dxa"/>
          <w:right w:w="0" w:type="dxa"/>
        </w:tblCellMar>
      </w:tblPr>
      <w:tblGrid>
        <w:gridCol w:w="1667"/>
        <w:gridCol w:w="1667"/>
        <w:gridCol w:w="1668"/>
        <w:gridCol w:w="1667"/>
        <w:gridCol w:w="166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283" w:hRule="atLeast"/>
        </w:trPr>
        <w:tc>
          <w:tcPr>
            <w:tcW w:w="1667" w:type="dxa"/>
            <w:tcBorders>
              <w:tl2br w:val="nil"/>
              <w:tr2bl w:val="nil"/>
            </w:tcBorders>
            <w:shd w:val="clear" w:color="auto" w:fill="auto"/>
            <w:tcMar>
              <w:top w:w="15" w:type="dxa"/>
              <w:left w:w="15" w:type="dxa"/>
              <w:right w:w="15" w:type="dxa"/>
            </w:tcMar>
            <w:vAlign w:val="center"/>
          </w:tcPr>
          <w:p>
            <w:pPr>
              <w:pStyle w:val="16"/>
              <w:rPr>
                <w:rFonts w:hint="default"/>
                <w:color w:val="auto"/>
              </w:rPr>
            </w:pPr>
            <w:bookmarkStart w:id="107" w:name="_Toc371174608"/>
            <w:bookmarkStart w:id="108" w:name="_Toc400530777"/>
            <w:bookmarkStart w:id="109" w:name="_Toc400529676"/>
            <w:r>
              <w:rPr>
                <w:rFonts w:hint="default"/>
                <w:color w:val="auto"/>
                <w:lang w:val="en-US" w:eastAsia="zh-CN"/>
              </w:rPr>
              <w:t>年度</w:t>
            </w:r>
          </w:p>
        </w:tc>
        <w:tc>
          <w:tcPr>
            <w:tcW w:w="1667" w:type="dxa"/>
            <w:tcBorders>
              <w:tl2br w:val="nil"/>
              <w:tr2bl w:val="nil"/>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监测面积（hm</w:t>
            </w:r>
            <w:r>
              <w:rPr>
                <w:rFonts w:hint="eastAsia"/>
                <w:color w:val="auto"/>
                <w:vertAlign w:val="superscript"/>
                <w:lang w:val="en-US" w:eastAsia="zh-CN"/>
              </w:rPr>
              <w:t>2</w:t>
            </w:r>
            <w:r>
              <w:rPr>
                <w:rFonts w:hint="default"/>
                <w:color w:val="auto"/>
                <w:lang w:val="en-US" w:eastAsia="zh-CN"/>
              </w:rPr>
              <w:t>）</w:t>
            </w:r>
          </w:p>
        </w:tc>
        <w:tc>
          <w:tcPr>
            <w:tcW w:w="1668" w:type="dxa"/>
            <w:tcBorders>
              <w:tl2br w:val="nil"/>
              <w:tr2bl w:val="nil"/>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扰动面积（hm</w:t>
            </w:r>
            <w:r>
              <w:rPr>
                <w:rFonts w:hint="eastAsia"/>
                <w:color w:val="auto"/>
                <w:vertAlign w:val="superscript"/>
                <w:lang w:val="en-US" w:eastAsia="zh-CN"/>
              </w:rPr>
              <w:t>2</w:t>
            </w:r>
            <w:r>
              <w:rPr>
                <w:rFonts w:hint="default"/>
                <w:color w:val="auto"/>
                <w:lang w:val="en-US" w:eastAsia="zh-CN"/>
              </w:rPr>
              <w:t>）</w:t>
            </w:r>
          </w:p>
        </w:tc>
        <w:tc>
          <w:tcPr>
            <w:tcW w:w="1667" w:type="dxa"/>
            <w:tcBorders>
              <w:tl2br w:val="nil"/>
              <w:tr2bl w:val="nil"/>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未扰动面积（hm</w:t>
            </w:r>
            <w:r>
              <w:rPr>
                <w:rFonts w:hint="eastAsia"/>
                <w:color w:val="auto"/>
                <w:vertAlign w:val="superscript"/>
                <w:lang w:val="en-US" w:eastAsia="zh-CN"/>
              </w:rPr>
              <w:t>2</w:t>
            </w:r>
            <w:r>
              <w:rPr>
                <w:rFonts w:hint="default"/>
                <w:color w:val="auto"/>
                <w:lang w:val="en-US" w:eastAsia="zh-CN"/>
              </w:rPr>
              <w:t>）</w:t>
            </w:r>
          </w:p>
        </w:tc>
        <w:tc>
          <w:tcPr>
            <w:tcW w:w="1667" w:type="dxa"/>
            <w:tcBorders>
              <w:tl2br w:val="nil"/>
              <w:tr2bl w:val="nil"/>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地表扰动率（%</w:t>
            </w:r>
            <w:r>
              <w:rPr>
                <w:color w:val="auto"/>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trPr>
        <w:tc>
          <w:tcPr>
            <w:tcW w:w="1667" w:type="dxa"/>
            <w:tcBorders>
              <w:tl2br w:val="nil"/>
              <w:tr2bl w:val="nil"/>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 xml:space="preserve">2018 </w:t>
            </w:r>
            <w:r>
              <w:rPr>
                <w:color w:val="auto"/>
                <w:lang w:val="en-US" w:eastAsia="zh-CN"/>
              </w:rPr>
              <w:t>年12 月</w:t>
            </w:r>
          </w:p>
        </w:tc>
        <w:tc>
          <w:tcPr>
            <w:tcW w:w="1667"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65.09</w:t>
            </w:r>
          </w:p>
        </w:tc>
        <w:tc>
          <w:tcPr>
            <w:tcW w:w="1668"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64.73</w:t>
            </w:r>
          </w:p>
        </w:tc>
        <w:tc>
          <w:tcPr>
            <w:tcW w:w="1667"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0.36</w:t>
            </w:r>
          </w:p>
        </w:tc>
        <w:tc>
          <w:tcPr>
            <w:tcW w:w="1667"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99.45%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trPr>
        <w:tc>
          <w:tcPr>
            <w:tcW w:w="1667" w:type="dxa"/>
            <w:tcBorders>
              <w:tl2br w:val="nil"/>
              <w:tr2bl w:val="nil"/>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2019</w:t>
            </w:r>
            <w:r>
              <w:rPr>
                <w:color w:val="auto"/>
                <w:lang w:val="en-US" w:eastAsia="zh-CN"/>
              </w:rPr>
              <w:t>年12 月</w:t>
            </w:r>
          </w:p>
        </w:tc>
        <w:tc>
          <w:tcPr>
            <w:tcW w:w="1667"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65.09</w:t>
            </w:r>
          </w:p>
        </w:tc>
        <w:tc>
          <w:tcPr>
            <w:tcW w:w="1668"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64.73</w:t>
            </w:r>
          </w:p>
        </w:tc>
        <w:tc>
          <w:tcPr>
            <w:tcW w:w="1667"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0.36</w:t>
            </w:r>
          </w:p>
        </w:tc>
        <w:tc>
          <w:tcPr>
            <w:tcW w:w="1667"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99.45%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trPr>
        <w:tc>
          <w:tcPr>
            <w:tcW w:w="1667" w:type="dxa"/>
            <w:tcBorders>
              <w:tl2br w:val="nil"/>
              <w:tr2bl w:val="nil"/>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2020</w:t>
            </w:r>
            <w:r>
              <w:rPr>
                <w:color w:val="auto"/>
                <w:lang w:val="en-US" w:eastAsia="zh-CN"/>
              </w:rPr>
              <w:t>年10 月</w:t>
            </w:r>
          </w:p>
        </w:tc>
        <w:tc>
          <w:tcPr>
            <w:tcW w:w="1667"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65.09</w:t>
            </w:r>
          </w:p>
        </w:tc>
        <w:tc>
          <w:tcPr>
            <w:tcW w:w="1668"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64.73</w:t>
            </w:r>
          </w:p>
        </w:tc>
        <w:tc>
          <w:tcPr>
            <w:tcW w:w="1667"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0.36</w:t>
            </w:r>
          </w:p>
        </w:tc>
        <w:tc>
          <w:tcPr>
            <w:tcW w:w="1667"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99.45%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trPr>
        <w:tc>
          <w:tcPr>
            <w:tcW w:w="1667" w:type="dxa"/>
            <w:tcBorders>
              <w:tl2br w:val="nil"/>
              <w:tr2bl w:val="nil"/>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合计</w:t>
            </w:r>
          </w:p>
        </w:tc>
        <w:tc>
          <w:tcPr>
            <w:tcW w:w="1667"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65.09</w:t>
            </w:r>
          </w:p>
        </w:tc>
        <w:tc>
          <w:tcPr>
            <w:tcW w:w="1668"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64.73</w:t>
            </w:r>
          </w:p>
        </w:tc>
        <w:tc>
          <w:tcPr>
            <w:tcW w:w="1667"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w:t>
            </w:r>
          </w:p>
        </w:tc>
        <w:tc>
          <w:tcPr>
            <w:tcW w:w="1667"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99.45%</w:t>
            </w:r>
          </w:p>
        </w:tc>
      </w:tr>
    </w:tbl>
    <w:p>
      <w:pPr>
        <w:ind w:left="0" w:leftChars="0" w:firstLine="0" w:firstLineChars="0"/>
        <w:rPr>
          <w:rFonts w:hint="default" w:ascii="Times New Roman" w:hAnsi="Times New Roman" w:eastAsia="仿宋_GB2312" w:cs="Times New Roman"/>
          <w:color w:val="auto"/>
          <w:spacing w:val="0"/>
          <w:sz w:val="24"/>
        </w:rPr>
      </w:pPr>
    </w:p>
    <w:p>
      <w:pPr>
        <w:pStyle w:val="3"/>
        <w:rPr>
          <w:rFonts w:hint="default"/>
          <w:color w:val="auto"/>
        </w:rPr>
      </w:pPr>
      <w:bookmarkStart w:id="110" w:name="_Toc27792"/>
      <w:r>
        <w:rPr>
          <w:rFonts w:hint="default"/>
          <w:color w:val="auto"/>
        </w:rPr>
        <w:t>3.2取土（石）监测结果</w:t>
      </w:r>
      <w:bookmarkEnd w:id="107"/>
      <w:bookmarkEnd w:id="108"/>
      <w:bookmarkEnd w:id="109"/>
      <w:bookmarkEnd w:id="110"/>
    </w:p>
    <w:p>
      <w:pPr>
        <w:rPr>
          <w:rFonts w:hint="eastAsia" w:ascii="Times New Roman" w:hAnsi="Times New Roman" w:eastAsia="仿宋_GB2312"/>
          <w:color w:val="auto"/>
          <w:kern w:val="44"/>
          <w:sz w:val="24"/>
          <w:szCs w:val="24"/>
        </w:rPr>
      </w:pPr>
      <w:r>
        <w:rPr>
          <w:rFonts w:hint="eastAsia"/>
          <w:color w:val="auto"/>
          <w:kern w:val="44"/>
          <w:sz w:val="24"/>
          <w:szCs w:val="24"/>
          <w:lang w:eastAsia="zh-CN"/>
        </w:rPr>
        <w:t>根据本项目水土保持方案，本项目共设置取料场</w:t>
      </w:r>
      <w:r>
        <w:rPr>
          <w:rFonts w:hint="eastAsia"/>
          <w:color w:val="auto"/>
          <w:kern w:val="44"/>
          <w:sz w:val="24"/>
          <w:szCs w:val="24"/>
          <w:lang w:val="en-US" w:eastAsia="zh-CN"/>
        </w:rPr>
        <w:t>1个，占地面积为2.26hm</w:t>
      </w:r>
      <w:r>
        <w:rPr>
          <w:rFonts w:hint="eastAsia"/>
          <w:color w:val="auto"/>
          <w:kern w:val="44"/>
          <w:sz w:val="24"/>
          <w:szCs w:val="24"/>
          <w:vertAlign w:val="superscript"/>
          <w:lang w:val="en-US" w:eastAsia="zh-CN"/>
        </w:rPr>
        <w:t>2</w:t>
      </w:r>
      <w:r>
        <w:rPr>
          <w:rFonts w:hint="eastAsia"/>
          <w:color w:val="auto"/>
          <w:kern w:val="44"/>
          <w:sz w:val="24"/>
          <w:szCs w:val="24"/>
          <w:lang w:val="en-US" w:eastAsia="zh-CN"/>
        </w:rPr>
        <w:t>。取方量为23万m</w:t>
      </w:r>
      <w:r>
        <w:rPr>
          <w:rFonts w:hint="eastAsia"/>
          <w:color w:val="auto"/>
          <w:kern w:val="44"/>
          <w:sz w:val="24"/>
          <w:szCs w:val="24"/>
          <w:vertAlign w:val="superscript"/>
          <w:lang w:val="en-US" w:eastAsia="zh-CN"/>
        </w:rPr>
        <w:t>3</w:t>
      </w:r>
      <w:r>
        <w:rPr>
          <w:rFonts w:hint="eastAsia"/>
          <w:color w:val="auto"/>
          <w:kern w:val="44"/>
          <w:sz w:val="24"/>
          <w:szCs w:val="24"/>
          <w:lang w:val="en-US" w:eastAsia="zh-CN"/>
        </w:rPr>
        <w:t>。</w:t>
      </w:r>
      <w:r>
        <w:rPr>
          <w:rFonts w:hint="eastAsia"/>
          <w:color w:val="auto"/>
          <w:kern w:val="44"/>
          <w:sz w:val="24"/>
          <w:szCs w:val="24"/>
          <w:lang w:eastAsia="zh-CN"/>
        </w:rPr>
        <w:t>根据现场监测，本项目共设置取料场</w:t>
      </w:r>
      <w:r>
        <w:rPr>
          <w:rFonts w:hint="eastAsia"/>
          <w:color w:val="auto"/>
          <w:kern w:val="44"/>
          <w:sz w:val="24"/>
          <w:szCs w:val="24"/>
          <w:lang w:val="en-US" w:eastAsia="zh-CN"/>
        </w:rPr>
        <w:t>1个，占地面积为2.26hm</w:t>
      </w:r>
      <w:r>
        <w:rPr>
          <w:rFonts w:hint="eastAsia"/>
          <w:color w:val="auto"/>
          <w:kern w:val="44"/>
          <w:sz w:val="24"/>
          <w:szCs w:val="24"/>
          <w:vertAlign w:val="superscript"/>
          <w:lang w:val="en-US" w:eastAsia="zh-CN"/>
        </w:rPr>
        <w:t>2</w:t>
      </w:r>
      <w:r>
        <w:rPr>
          <w:rFonts w:hint="eastAsia"/>
          <w:color w:val="auto"/>
          <w:kern w:val="44"/>
          <w:sz w:val="24"/>
          <w:szCs w:val="24"/>
          <w:lang w:val="en-US" w:eastAsia="zh-CN"/>
        </w:rPr>
        <w:t>，取方量为23万m</w:t>
      </w:r>
      <w:r>
        <w:rPr>
          <w:rFonts w:hint="eastAsia"/>
          <w:color w:val="auto"/>
          <w:kern w:val="44"/>
          <w:sz w:val="24"/>
          <w:szCs w:val="24"/>
          <w:vertAlign w:val="superscript"/>
          <w:lang w:val="en-US" w:eastAsia="zh-CN"/>
        </w:rPr>
        <w:t>3</w:t>
      </w:r>
      <w:r>
        <w:rPr>
          <w:rFonts w:hint="eastAsia" w:ascii="Times New Roman" w:hAnsi="Times New Roman" w:eastAsia="仿宋_GB2312"/>
          <w:color w:val="auto"/>
          <w:kern w:val="44"/>
          <w:sz w:val="24"/>
          <w:szCs w:val="24"/>
        </w:rPr>
        <w:t>。</w:t>
      </w:r>
    </w:p>
    <w:p>
      <w:pPr>
        <w:rPr>
          <w:rFonts w:hint="eastAsia" w:ascii="Times New Roman" w:hAnsi="Times New Roman" w:eastAsia="仿宋_GB2312"/>
          <w:color w:val="auto"/>
          <w:kern w:val="44"/>
          <w:sz w:val="24"/>
          <w:szCs w:val="24"/>
          <w:lang w:eastAsia="zh-CN"/>
        </w:rPr>
      </w:pPr>
      <w:r>
        <w:rPr>
          <w:rFonts w:hint="eastAsia"/>
          <w:color w:val="auto"/>
          <w:kern w:val="44"/>
          <w:sz w:val="24"/>
          <w:szCs w:val="24"/>
          <w:lang w:eastAsia="zh-CN"/>
        </w:rPr>
        <w:t>根据现场监测结果，本项目料场</w:t>
      </w:r>
      <w:r>
        <w:rPr>
          <w:rFonts w:hint="eastAsia"/>
          <w:color w:val="auto"/>
          <w:kern w:val="44"/>
          <w:sz w:val="24"/>
          <w:szCs w:val="24"/>
          <w:lang w:val="en-US" w:eastAsia="zh-CN"/>
        </w:rPr>
        <w:t>平台已进行覆土整治和绿化，边坡已进行植物攀爬网覆盖，边坡下方种植了油麻藤等攀爬植物，恢复效果良好</w:t>
      </w:r>
      <w:r>
        <w:rPr>
          <w:rFonts w:hint="eastAsia"/>
          <w:color w:val="auto"/>
          <w:kern w:val="44"/>
          <w:sz w:val="24"/>
          <w:szCs w:val="24"/>
          <w:lang w:eastAsia="zh-CN"/>
        </w:rPr>
        <w:t>，</w:t>
      </w:r>
      <w:r>
        <w:rPr>
          <w:rFonts w:hint="eastAsia"/>
          <w:color w:val="auto"/>
          <w:kern w:val="44"/>
          <w:sz w:val="24"/>
          <w:szCs w:val="24"/>
          <w:lang w:val="en-US" w:eastAsia="zh-CN"/>
        </w:rPr>
        <w:t>但</w:t>
      </w:r>
      <w:r>
        <w:rPr>
          <w:rFonts w:hint="eastAsia"/>
          <w:color w:val="auto"/>
          <w:kern w:val="44"/>
          <w:sz w:val="24"/>
          <w:szCs w:val="24"/>
          <w:lang w:eastAsia="zh-CN"/>
        </w:rPr>
        <w:t>部分地区植被长势较差，建议建设单位对裸露区域及时进行植被恢复，对长势不好的区域进行补植，以减少水土流失。</w:t>
      </w:r>
    </w:p>
    <w:tbl>
      <w:tblPr>
        <w:tblStyle w:val="1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1" w:type="dxa"/>
            <w:shd w:val="clear" w:color="auto" w:fill="auto"/>
            <w:vAlign w:val="center"/>
          </w:tcPr>
          <w:p>
            <w:pPr>
              <w:pStyle w:val="16"/>
              <w:rPr>
                <w:color w:val="auto"/>
              </w:rPr>
            </w:pPr>
            <w:r>
              <w:rPr>
                <w:color w:val="auto"/>
              </w:rPr>
              <w:drawing>
                <wp:inline distT="0" distB="0" distL="114300" distR="114300">
                  <wp:extent cx="2588260" cy="1941195"/>
                  <wp:effectExtent l="0" t="0" r="2540" b="1905"/>
                  <wp:docPr id="15" name="图片 4" descr="F:\QQ接收文件\1229622151\FileRecv\MobileFile\IMG_3886.JPGIMG_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F:\QQ接收文件\1229622151\FileRecv\MobileFile\IMG_3886.JPGIMG_3886"/>
                          <pic:cNvPicPr>
                            <a:picLocks noChangeAspect="1"/>
                          </pic:cNvPicPr>
                        </pic:nvPicPr>
                        <pic:blipFill>
                          <a:blip r:embed="rId20"/>
                          <a:srcRect/>
                          <a:stretch>
                            <a:fillRect/>
                          </a:stretch>
                        </pic:blipFill>
                        <pic:spPr>
                          <a:xfrm>
                            <a:off x="0" y="0"/>
                            <a:ext cx="2588260" cy="1941195"/>
                          </a:xfrm>
                          <a:prstGeom prst="rect">
                            <a:avLst/>
                          </a:prstGeom>
                          <a:noFill/>
                          <a:ln w="9525">
                            <a:noFill/>
                          </a:ln>
                        </pic:spPr>
                      </pic:pic>
                    </a:graphicData>
                  </a:graphic>
                </wp:inline>
              </w:drawing>
            </w:r>
          </w:p>
        </w:tc>
        <w:tc>
          <w:tcPr>
            <w:tcW w:w="4261" w:type="dxa"/>
            <w:shd w:val="clear" w:color="auto" w:fill="auto"/>
            <w:vAlign w:val="center"/>
          </w:tcPr>
          <w:p>
            <w:pPr>
              <w:pStyle w:val="16"/>
              <w:rPr>
                <w:color w:val="auto"/>
              </w:rPr>
            </w:pPr>
            <w:r>
              <w:rPr>
                <w:color w:val="auto"/>
              </w:rPr>
              <w:drawing>
                <wp:inline distT="0" distB="0" distL="114300" distR="114300">
                  <wp:extent cx="2573655" cy="1929765"/>
                  <wp:effectExtent l="0" t="0" r="17145" b="13335"/>
                  <wp:docPr id="14" name="图片 5" descr="F:\QQ接收文件\1229622151\FileRecv\MobileFile\IMG_3888.JPGIMG_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F:\QQ接收文件\1229622151\FileRecv\MobileFile\IMG_3888.JPGIMG_3888"/>
                          <pic:cNvPicPr>
                            <a:picLocks noChangeAspect="1"/>
                          </pic:cNvPicPr>
                        </pic:nvPicPr>
                        <pic:blipFill>
                          <a:blip r:embed="rId21"/>
                          <a:srcRect/>
                          <a:stretch>
                            <a:fillRect/>
                          </a:stretch>
                        </pic:blipFill>
                        <pic:spPr>
                          <a:xfrm>
                            <a:off x="0" y="0"/>
                            <a:ext cx="2573655" cy="19297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2" w:type="dxa"/>
            <w:gridSpan w:val="2"/>
            <w:shd w:val="clear" w:color="auto" w:fill="auto"/>
            <w:vAlign w:val="center"/>
          </w:tcPr>
          <w:p>
            <w:pPr>
              <w:pStyle w:val="16"/>
              <w:rPr>
                <w:color w:val="auto"/>
              </w:rPr>
            </w:pPr>
            <w:r>
              <w:rPr>
                <w:color w:val="auto"/>
              </w:rPr>
              <w:t>取料场</w:t>
            </w:r>
            <w:r>
              <w:rPr>
                <w:rFonts w:hint="eastAsia"/>
                <w:color w:val="auto"/>
              </w:rPr>
              <w:t>现场照片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1" w:type="dxa"/>
            <w:shd w:val="clear" w:color="auto" w:fill="auto"/>
            <w:vAlign w:val="center"/>
          </w:tcPr>
          <w:p>
            <w:pPr>
              <w:pStyle w:val="16"/>
              <w:rPr>
                <w:color w:val="auto"/>
              </w:rPr>
            </w:pPr>
            <w:r>
              <w:rPr>
                <w:color w:val="auto"/>
              </w:rPr>
              <w:drawing>
                <wp:inline distT="0" distB="0" distL="114300" distR="114300">
                  <wp:extent cx="2319655" cy="1739900"/>
                  <wp:effectExtent l="0" t="0" r="4445" b="12700"/>
                  <wp:docPr id="2" name="图片 6" descr="D:\项目（未完成）\225普安县G320江西坡至三板桥道路工程-谢豪\照片2020.07.13-2020.07.14\手机\G320\IMG_20200714_084219.jpgIMG_20200714_08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D:\项目（未完成）\225普安县G320江西坡至三板桥道路工程-谢豪\照片2020.07.13-2020.07.14\手机\G320\IMG_20200714_084219.jpgIMG_20200714_084219"/>
                          <pic:cNvPicPr>
                            <a:picLocks noChangeAspect="1"/>
                          </pic:cNvPicPr>
                        </pic:nvPicPr>
                        <pic:blipFill>
                          <a:blip r:embed="rId22"/>
                          <a:srcRect/>
                          <a:stretch>
                            <a:fillRect/>
                          </a:stretch>
                        </pic:blipFill>
                        <pic:spPr>
                          <a:xfrm>
                            <a:off x="0" y="0"/>
                            <a:ext cx="2319655" cy="1739900"/>
                          </a:xfrm>
                          <a:prstGeom prst="rect">
                            <a:avLst/>
                          </a:prstGeom>
                          <a:noFill/>
                          <a:ln w="9525">
                            <a:noFill/>
                          </a:ln>
                        </pic:spPr>
                      </pic:pic>
                    </a:graphicData>
                  </a:graphic>
                </wp:inline>
              </w:drawing>
            </w:r>
          </w:p>
        </w:tc>
        <w:tc>
          <w:tcPr>
            <w:tcW w:w="4261" w:type="dxa"/>
            <w:shd w:val="clear" w:color="auto" w:fill="auto"/>
            <w:vAlign w:val="center"/>
          </w:tcPr>
          <w:p>
            <w:pPr>
              <w:pStyle w:val="16"/>
              <w:rPr>
                <w:color w:val="auto"/>
              </w:rPr>
            </w:pPr>
            <w:r>
              <w:rPr>
                <w:color w:val="auto"/>
              </w:rPr>
              <w:drawing>
                <wp:inline distT="0" distB="0" distL="114300" distR="114300">
                  <wp:extent cx="2576195" cy="1932305"/>
                  <wp:effectExtent l="0" t="0" r="14605" b="10795"/>
                  <wp:docPr id="13" name="图片 7" descr="D:\项目（未完成）\225普安县G320江西坡至三板桥道路工程-谢豪\照片2020.07.13-2020.07.14\手机\G320\IMG_20200714_084333.jpgIMG_20200714_08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D:\项目（未完成）\225普安县G320江西坡至三板桥道路工程-谢豪\照片2020.07.13-2020.07.14\手机\G320\IMG_20200714_084333.jpgIMG_20200714_084333"/>
                          <pic:cNvPicPr>
                            <a:picLocks noChangeAspect="1"/>
                          </pic:cNvPicPr>
                        </pic:nvPicPr>
                        <pic:blipFill>
                          <a:blip r:embed="rId23"/>
                          <a:srcRect/>
                          <a:stretch>
                            <a:fillRect/>
                          </a:stretch>
                        </pic:blipFill>
                        <pic:spPr>
                          <a:xfrm>
                            <a:off x="0" y="0"/>
                            <a:ext cx="2576195" cy="19323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2" w:type="dxa"/>
            <w:gridSpan w:val="2"/>
            <w:shd w:val="clear" w:color="auto" w:fill="auto"/>
            <w:vAlign w:val="center"/>
          </w:tcPr>
          <w:p>
            <w:pPr>
              <w:pStyle w:val="16"/>
              <w:rPr>
                <w:color w:val="auto"/>
              </w:rPr>
            </w:pPr>
            <w:r>
              <w:rPr>
                <w:rFonts w:hint="eastAsia"/>
                <w:color w:val="auto"/>
                <w:lang w:val="en-US" w:eastAsia="zh-CN"/>
              </w:rPr>
              <w:t>取料</w:t>
            </w:r>
            <w:r>
              <w:rPr>
                <w:color w:val="auto"/>
              </w:rPr>
              <w:t>场</w:t>
            </w:r>
            <w:r>
              <w:rPr>
                <w:rFonts w:hint="eastAsia"/>
                <w:color w:val="auto"/>
              </w:rPr>
              <w:t>现场照片</w:t>
            </w:r>
          </w:p>
        </w:tc>
      </w:tr>
    </w:tbl>
    <w:p>
      <w:pPr>
        <w:rPr>
          <w:rFonts w:hint="eastAsia" w:ascii="Times New Roman" w:hAnsi="Times New Roman" w:eastAsia="仿宋_GB2312"/>
          <w:color w:val="auto"/>
          <w:kern w:val="44"/>
          <w:sz w:val="24"/>
          <w:szCs w:val="24"/>
        </w:rPr>
      </w:pPr>
    </w:p>
    <w:p>
      <w:pPr>
        <w:pStyle w:val="3"/>
        <w:rPr>
          <w:rFonts w:hint="eastAsia"/>
          <w:color w:val="auto"/>
          <w:sz w:val="24"/>
          <w:szCs w:val="24"/>
          <w:lang w:val="en-US" w:eastAsia="zh-CN"/>
        </w:rPr>
      </w:pPr>
      <w:bookmarkStart w:id="111" w:name="_Toc400530778"/>
      <w:bookmarkStart w:id="112" w:name="_Toc400529677"/>
      <w:bookmarkStart w:id="113" w:name="_Toc371174609"/>
      <w:bookmarkStart w:id="114" w:name="_Toc9543"/>
      <w:r>
        <w:rPr>
          <w:rFonts w:hint="default"/>
          <w:color w:val="auto"/>
        </w:rPr>
        <w:t>3.3弃土监测结果</w:t>
      </w:r>
      <w:bookmarkEnd w:id="111"/>
      <w:bookmarkEnd w:id="112"/>
      <w:bookmarkEnd w:id="113"/>
      <w:bookmarkEnd w:id="114"/>
      <w:bookmarkStart w:id="115" w:name="_Toc400529680"/>
      <w:bookmarkStart w:id="116" w:name="_Toc371174612"/>
      <w:bookmarkStart w:id="117" w:name="_Toc400530781"/>
    </w:p>
    <w:p>
      <w:pPr>
        <w:rPr>
          <w:rFonts w:hint="eastAsia"/>
          <w:color w:val="auto"/>
          <w:lang w:val="en-US" w:eastAsia="zh-CN"/>
        </w:rPr>
      </w:pPr>
      <w:r>
        <w:rPr>
          <w:rFonts w:hint="eastAsia"/>
          <w:color w:val="auto"/>
          <w:szCs w:val="24"/>
          <w:lang w:val="en-US" w:eastAsia="zh-CN"/>
        </w:rPr>
        <w:t>根据水土保持方案，本项目方案设计6个弃渣场，占地面积为4.15hm</w:t>
      </w:r>
      <w:r>
        <w:rPr>
          <w:rFonts w:hint="eastAsia"/>
          <w:color w:val="auto"/>
          <w:szCs w:val="24"/>
          <w:vertAlign w:val="superscript"/>
          <w:lang w:val="en-US" w:eastAsia="zh-CN"/>
        </w:rPr>
        <w:t>2</w:t>
      </w:r>
      <w:r>
        <w:rPr>
          <w:rFonts w:hint="eastAsia"/>
          <w:color w:val="auto"/>
          <w:szCs w:val="24"/>
          <w:lang w:val="en-US" w:eastAsia="zh-CN"/>
        </w:rPr>
        <w:t>。本项目实际使用弃渣场6个，占地面积为4.15hm</w:t>
      </w:r>
      <w:r>
        <w:rPr>
          <w:rFonts w:hint="eastAsia"/>
          <w:color w:val="auto"/>
          <w:szCs w:val="24"/>
          <w:vertAlign w:val="superscript"/>
          <w:lang w:val="en-US" w:eastAsia="zh-CN"/>
        </w:rPr>
        <w:t>2</w:t>
      </w:r>
      <w:r>
        <w:rPr>
          <w:rFonts w:hint="eastAsia"/>
          <w:color w:val="auto"/>
          <w:szCs w:val="24"/>
          <w:lang w:val="en-US" w:eastAsia="zh-CN"/>
        </w:rPr>
        <w:t>，实际弃方量为32.3万m</w:t>
      </w:r>
      <w:r>
        <w:rPr>
          <w:rFonts w:hint="eastAsia"/>
          <w:color w:val="auto"/>
          <w:szCs w:val="24"/>
          <w:vertAlign w:val="superscript"/>
          <w:lang w:val="en-US" w:eastAsia="zh-CN"/>
        </w:rPr>
        <w:t>3</w:t>
      </w:r>
      <w:r>
        <w:rPr>
          <w:rFonts w:hint="eastAsia"/>
          <w:color w:val="auto"/>
          <w:szCs w:val="24"/>
          <w:lang w:val="en-US" w:eastAsia="zh-CN"/>
        </w:rPr>
        <w:t>。</w:t>
      </w:r>
    </w:p>
    <w:tbl>
      <w:tblPr>
        <w:tblStyle w:val="1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1" w:type="dxa"/>
            <w:shd w:val="clear" w:color="auto" w:fill="auto"/>
            <w:vAlign w:val="center"/>
          </w:tcPr>
          <w:p>
            <w:pPr>
              <w:pStyle w:val="16"/>
              <w:rPr>
                <w:color w:val="auto"/>
              </w:rPr>
            </w:pPr>
            <w:r>
              <w:rPr>
                <w:color w:val="auto"/>
              </w:rPr>
              <w:drawing>
                <wp:inline distT="0" distB="0" distL="114300" distR="114300">
                  <wp:extent cx="1455420" cy="1941195"/>
                  <wp:effectExtent l="0" t="0" r="11430" b="1905"/>
                  <wp:docPr id="5" name="图片 4" descr="F:\QQ接收文件\1229622151\FileRecv\MobileFile\IMG_3959(20201028-163448).JPGIMG_3959(20201028-16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F:\QQ接收文件\1229622151\FileRecv\MobileFile\IMG_3959(20201028-163448).JPGIMG_3959(20201028-163448)"/>
                          <pic:cNvPicPr>
                            <a:picLocks noChangeAspect="1"/>
                          </pic:cNvPicPr>
                        </pic:nvPicPr>
                        <pic:blipFill>
                          <a:blip r:embed="rId24"/>
                          <a:srcRect l="-658" b="-493"/>
                          <a:stretch>
                            <a:fillRect/>
                          </a:stretch>
                        </pic:blipFill>
                        <pic:spPr>
                          <a:xfrm>
                            <a:off x="0" y="0"/>
                            <a:ext cx="1455420" cy="1941195"/>
                          </a:xfrm>
                          <a:prstGeom prst="rect">
                            <a:avLst/>
                          </a:prstGeom>
                          <a:noFill/>
                          <a:ln w="9525">
                            <a:noFill/>
                          </a:ln>
                        </pic:spPr>
                      </pic:pic>
                    </a:graphicData>
                  </a:graphic>
                </wp:inline>
              </w:drawing>
            </w:r>
          </w:p>
        </w:tc>
        <w:tc>
          <w:tcPr>
            <w:tcW w:w="4261" w:type="dxa"/>
            <w:shd w:val="clear" w:color="auto" w:fill="auto"/>
            <w:vAlign w:val="center"/>
          </w:tcPr>
          <w:p>
            <w:pPr>
              <w:pStyle w:val="16"/>
              <w:rPr>
                <w:color w:val="auto"/>
              </w:rPr>
            </w:pPr>
            <w:r>
              <w:rPr>
                <w:color w:val="auto"/>
              </w:rPr>
              <w:drawing>
                <wp:inline distT="0" distB="0" distL="114300" distR="114300">
                  <wp:extent cx="2573655" cy="1447165"/>
                  <wp:effectExtent l="0" t="0" r="17145" b="635"/>
                  <wp:docPr id="6" name="图片 5" descr="D:\项目（未完成）\225普安县G320江西坡至三板桥道路工程-谢豪\照片2020.07.13-2020.07.14\航拍图\G320航拍图2020.07.13\DJI_0780.JPGDJI_0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D:\项目（未完成）\225普安县G320江西坡至三板桥道路工程-谢豪\照片2020.07.13-2020.07.14\航拍图\G320航拍图2020.07.13\DJI_0780.JPGDJI_0780"/>
                          <pic:cNvPicPr>
                            <a:picLocks noChangeAspect="1"/>
                          </pic:cNvPicPr>
                        </pic:nvPicPr>
                        <pic:blipFill>
                          <a:blip r:embed="rId25"/>
                          <a:srcRect/>
                          <a:stretch>
                            <a:fillRect/>
                          </a:stretch>
                        </pic:blipFill>
                        <pic:spPr>
                          <a:xfrm>
                            <a:off x="0" y="0"/>
                            <a:ext cx="2573655" cy="14471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1" w:type="dxa"/>
            <w:shd w:val="clear" w:color="auto" w:fill="auto"/>
            <w:vAlign w:val="center"/>
          </w:tcPr>
          <w:p>
            <w:pPr>
              <w:pStyle w:val="16"/>
              <w:rPr>
                <w:color w:val="auto"/>
              </w:rPr>
            </w:pPr>
            <w:r>
              <w:rPr>
                <w:rFonts w:hint="eastAsia"/>
                <w:color w:val="auto"/>
                <w:lang w:val="en-US" w:eastAsia="zh-CN"/>
              </w:rPr>
              <w:t>1#弃渣场</w:t>
            </w:r>
          </w:p>
        </w:tc>
        <w:tc>
          <w:tcPr>
            <w:tcW w:w="4261" w:type="dxa"/>
            <w:shd w:val="clear" w:color="auto" w:fill="auto"/>
            <w:vAlign w:val="center"/>
          </w:tcPr>
          <w:p>
            <w:pPr>
              <w:pStyle w:val="16"/>
              <w:rPr>
                <w:rFonts w:hint="eastAsia"/>
                <w:color w:val="auto"/>
                <w:lang w:val="en-US" w:eastAsia="zh-CN"/>
              </w:rPr>
            </w:pPr>
            <w:r>
              <w:rPr>
                <w:rFonts w:hint="eastAsia"/>
                <w:color w:val="auto"/>
                <w:lang w:val="en-US" w:eastAsia="zh-CN"/>
              </w:rPr>
              <w:t>2#弃渣场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1" w:type="dxa"/>
            <w:shd w:val="clear" w:color="auto" w:fill="auto"/>
            <w:vAlign w:val="center"/>
          </w:tcPr>
          <w:p>
            <w:pPr>
              <w:pStyle w:val="16"/>
              <w:rPr>
                <w:rFonts w:hint="eastAsia"/>
                <w:color w:val="auto"/>
                <w:lang w:eastAsia="zh-CN"/>
              </w:rPr>
            </w:pPr>
            <w:r>
              <w:rPr>
                <w:rFonts w:hint="eastAsia"/>
                <w:color w:val="auto"/>
                <w:lang w:eastAsia="zh-CN"/>
              </w:rPr>
              <w:drawing>
                <wp:inline distT="0" distB="0" distL="114300" distR="114300">
                  <wp:extent cx="1875790" cy="1407160"/>
                  <wp:effectExtent l="0" t="0" r="10160" b="2540"/>
                  <wp:docPr id="1" name="图片 1" descr="D:\项目（未完成）\225普安县G320江西坡至三板桥道路工程-谢豪\g320，11.5\10.30\IMG_0643.JPGIMG_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项目（未完成）\225普安县G320江西坡至三板桥道路工程-谢豪\g320，11.5\10.30\IMG_0643.JPGIMG_0643"/>
                          <pic:cNvPicPr>
                            <a:picLocks noChangeAspect="1"/>
                          </pic:cNvPicPr>
                        </pic:nvPicPr>
                        <pic:blipFill>
                          <a:blip r:embed="rId26"/>
                          <a:srcRect/>
                          <a:stretch>
                            <a:fillRect/>
                          </a:stretch>
                        </pic:blipFill>
                        <pic:spPr>
                          <a:xfrm>
                            <a:off x="0" y="0"/>
                            <a:ext cx="1875790" cy="1407160"/>
                          </a:xfrm>
                          <a:prstGeom prst="rect">
                            <a:avLst/>
                          </a:prstGeom>
                        </pic:spPr>
                      </pic:pic>
                    </a:graphicData>
                  </a:graphic>
                </wp:inline>
              </w:drawing>
            </w:r>
          </w:p>
        </w:tc>
        <w:tc>
          <w:tcPr>
            <w:tcW w:w="4261" w:type="dxa"/>
            <w:shd w:val="clear" w:color="auto" w:fill="auto"/>
            <w:vAlign w:val="center"/>
          </w:tcPr>
          <w:p>
            <w:pPr>
              <w:pStyle w:val="16"/>
              <w:rPr>
                <w:rFonts w:hint="eastAsia"/>
                <w:color w:val="auto"/>
                <w:lang w:eastAsia="zh-CN"/>
              </w:rPr>
            </w:pPr>
            <w:r>
              <w:rPr>
                <w:rFonts w:hint="eastAsia"/>
                <w:color w:val="auto"/>
                <w:lang w:eastAsia="zh-CN"/>
              </w:rPr>
              <w:drawing>
                <wp:inline distT="0" distB="0" distL="114300" distR="114300">
                  <wp:extent cx="1875790" cy="1407160"/>
                  <wp:effectExtent l="0" t="0" r="10160" b="2540"/>
                  <wp:docPr id="7" name="图片 7" descr="D:\项目（未完成）\225普安县G320江西坡至三板桥道路工程-谢豪\g320，11.5\10.30\IMG_0633.JPGIMG_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项目（未完成）\225普安县G320江西坡至三板桥道路工程-谢豪\g320，11.5\10.30\IMG_0633.JPGIMG_0633"/>
                          <pic:cNvPicPr>
                            <a:picLocks noChangeAspect="1"/>
                          </pic:cNvPicPr>
                        </pic:nvPicPr>
                        <pic:blipFill>
                          <a:blip r:embed="rId27"/>
                          <a:srcRect/>
                          <a:stretch>
                            <a:fillRect/>
                          </a:stretch>
                        </pic:blipFill>
                        <pic:spPr>
                          <a:xfrm>
                            <a:off x="0" y="0"/>
                            <a:ext cx="1875790" cy="14071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1" w:type="dxa"/>
            <w:shd w:val="clear" w:color="auto" w:fill="auto"/>
            <w:vAlign w:val="center"/>
          </w:tcPr>
          <w:p>
            <w:pPr>
              <w:pStyle w:val="16"/>
              <w:rPr>
                <w:rFonts w:hint="eastAsia"/>
                <w:color w:val="auto"/>
                <w:lang w:val="en-US" w:eastAsia="zh-CN"/>
              </w:rPr>
            </w:pPr>
            <w:r>
              <w:rPr>
                <w:rFonts w:hint="eastAsia"/>
                <w:color w:val="auto"/>
                <w:lang w:val="en-US" w:eastAsia="zh-CN"/>
              </w:rPr>
              <w:t>3#弃渣场</w:t>
            </w:r>
          </w:p>
        </w:tc>
        <w:tc>
          <w:tcPr>
            <w:tcW w:w="4261" w:type="dxa"/>
            <w:shd w:val="clear" w:color="auto" w:fill="auto"/>
            <w:vAlign w:val="center"/>
          </w:tcPr>
          <w:p>
            <w:pPr>
              <w:pStyle w:val="16"/>
              <w:rPr>
                <w:rFonts w:hint="eastAsia"/>
                <w:color w:val="auto"/>
                <w:lang w:val="en-US" w:eastAsia="zh-CN"/>
              </w:rPr>
            </w:pPr>
            <w:r>
              <w:rPr>
                <w:rFonts w:hint="eastAsia"/>
                <w:color w:val="auto"/>
                <w:lang w:val="en-US" w:eastAsia="zh-CN"/>
              </w:rPr>
              <w:t>4#弃渣场（2018年10月摄）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1" w:type="dxa"/>
            <w:shd w:val="clear" w:color="auto" w:fill="auto"/>
            <w:vAlign w:val="center"/>
          </w:tcPr>
          <w:p>
            <w:pPr>
              <w:pStyle w:val="16"/>
              <w:rPr>
                <w:rFonts w:hint="eastAsia"/>
                <w:color w:val="auto"/>
                <w:lang w:eastAsia="zh-CN"/>
              </w:rPr>
            </w:pPr>
            <w:r>
              <w:rPr>
                <w:rFonts w:hint="eastAsia"/>
                <w:color w:val="auto"/>
                <w:lang w:eastAsia="zh-CN"/>
              </w:rPr>
              <w:drawing>
                <wp:inline distT="0" distB="0" distL="114300" distR="114300">
                  <wp:extent cx="2515870" cy="1887220"/>
                  <wp:effectExtent l="0" t="0" r="17780" b="17780"/>
                  <wp:docPr id="8" name="图片 8" descr="IMG_20181031_17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181031_171209"/>
                          <pic:cNvPicPr>
                            <a:picLocks noChangeAspect="1"/>
                          </pic:cNvPicPr>
                        </pic:nvPicPr>
                        <pic:blipFill>
                          <a:blip r:embed="rId28"/>
                          <a:stretch>
                            <a:fillRect/>
                          </a:stretch>
                        </pic:blipFill>
                        <pic:spPr>
                          <a:xfrm>
                            <a:off x="0" y="0"/>
                            <a:ext cx="2515870" cy="1887220"/>
                          </a:xfrm>
                          <a:prstGeom prst="rect">
                            <a:avLst/>
                          </a:prstGeom>
                        </pic:spPr>
                      </pic:pic>
                    </a:graphicData>
                  </a:graphic>
                </wp:inline>
              </w:drawing>
            </w:r>
          </w:p>
        </w:tc>
        <w:tc>
          <w:tcPr>
            <w:tcW w:w="4261" w:type="dxa"/>
            <w:shd w:val="clear" w:color="auto" w:fill="auto"/>
            <w:vAlign w:val="center"/>
          </w:tcPr>
          <w:p>
            <w:pPr>
              <w:pStyle w:val="16"/>
              <w:rPr>
                <w:rFonts w:hint="eastAsia"/>
                <w:color w:val="auto"/>
                <w:lang w:eastAsia="zh-CN"/>
              </w:rPr>
            </w:pPr>
            <w:r>
              <w:rPr>
                <w:rFonts w:hint="eastAsia"/>
                <w:color w:val="auto"/>
                <w:lang w:eastAsia="zh-CN"/>
              </w:rPr>
              <w:drawing>
                <wp:inline distT="0" distB="0" distL="114300" distR="114300">
                  <wp:extent cx="2501265" cy="1407160"/>
                  <wp:effectExtent l="0" t="0" r="13335" b="2540"/>
                  <wp:docPr id="31" name="图片 31" descr="DJI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JI_0006"/>
                          <pic:cNvPicPr>
                            <a:picLocks noChangeAspect="1"/>
                          </pic:cNvPicPr>
                        </pic:nvPicPr>
                        <pic:blipFill>
                          <a:blip r:embed="rId29"/>
                          <a:stretch>
                            <a:fillRect/>
                          </a:stretch>
                        </pic:blipFill>
                        <pic:spPr>
                          <a:xfrm>
                            <a:off x="0" y="0"/>
                            <a:ext cx="2501265" cy="14071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1" w:type="dxa"/>
            <w:shd w:val="clear" w:color="auto" w:fill="auto"/>
            <w:vAlign w:val="center"/>
          </w:tcPr>
          <w:p>
            <w:pPr>
              <w:pStyle w:val="16"/>
              <w:rPr>
                <w:rFonts w:hint="eastAsia"/>
                <w:color w:val="auto"/>
                <w:lang w:val="en-US" w:eastAsia="zh-CN"/>
              </w:rPr>
            </w:pPr>
            <w:r>
              <w:rPr>
                <w:rFonts w:hint="eastAsia"/>
                <w:color w:val="auto"/>
                <w:lang w:val="en-US" w:eastAsia="zh-CN"/>
              </w:rPr>
              <w:t>5#弃渣场</w:t>
            </w:r>
          </w:p>
        </w:tc>
        <w:tc>
          <w:tcPr>
            <w:tcW w:w="4261" w:type="dxa"/>
            <w:shd w:val="clear" w:color="auto" w:fill="auto"/>
            <w:vAlign w:val="center"/>
          </w:tcPr>
          <w:p>
            <w:pPr>
              <w:pStyle w:val="16"/>
              <w:rPr>
                <w:rFonts w:hint="eastAsia"/>
                <w:color w:val="auto"/>
                <w:lang w:val="en-US" w:eastAsia="zh-CN"/>
              </w:rPr>
            </w:pPr>
            <w:r>
              <w:rPr>
                <w:rFonts w:hint="eastAsia"/>
                <w:color w:val="auto"/>
                <w:lang w:val="en-US" w:eastAsia="zh-CN"/>
              </w:rPr>
              <w:t>6#弃渣场（2018年10月摄）</w:t>
            </w:r>
          </w:p>
        </w:tc>
      </w:tr>
    </w:tbl>
    <w:p>
      <w:pPr>
        <w:keepNext w:val="0"/>
        <w:keepLines w:val="0"/>
        <w:pageBreakBefore w:val="0"/>
        <w:widowControl w:val="0"/>
        <w:kinsoku/>
        <w:wordWrap/>
        <w:overflowPunct/>
        <w:topLinePunct/>
        <w:autoSpaceDE/>
        <w:autoSpaceDN/>
        <w:bidi w:val="0"/>
        <w:adjustRightInd w:val="0"/>
        <w:snapToGrid w:val="0"/>
        <w:spacing w:before="157" w:beforeLines="50" w:after="157" w:afterLines="50" w:line="360" w:lineRule="auto"/>
        <w:ind w:left="0" w:leftChars="0" w:right="0" w:rightChars="0" w:firstLine="480" w:firstLineChars="200"/>
        <w:jc w:val="both"/>
        <w:textAlignment w:val="auto"/>
        <w:outlineLvl w:val="9"/>
        <w:rPr>
          <w:rFonts w:hint="eastAsia"/>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bookmarkEnd w:id="115"/>
    <w:bookmarkEnd w:id="116"/>
    <w:bookmarkEnd w:id="117"/>
    <w:p>
      <w:pPr>
        <w:pStyle w:val="2"/>
        <w:rPr>
          <w:rFonts w:hint="default"/>
          <w:color w:val="auto"/>
        </w:rPr>
      </w:pPr>
      <w:bookmarkStart w:id="118" w:name="_Toc400530782"/>
      <w:bookmarkStart w:id="119" w:name="_Toc18602"/>
      <w:bookmarkStart w:id="120" w:name="_Toc371174613"/>
      <w:bookmarkStart w:id="121" w:name="_Toc400529681"/>
      <w:r>
        <w:rPr>
          <w:rFonts w:hint="default"/>
          <w:color w:val="auto"/>
        </w:rPr>
        <w:t>4 水土流失防治措施监测结果</w:t>
      </w:r>
      <w:bookmarkEnd w:id="118"/>
      <w:bookmarkEnd w:id="119"/>
      <w:bookmarkEnd w:id="120"/>
      <w:bookmarkEnd w:id="121"/>
    </w:p>
    <w:p>
      <w:pPr>
        <w:pStyle w:val="3"/>
        <w:rPr>
          <w:rFonts w:hint="default"/>
          <w:color w:val="auto"/>
        </w:rPr>
      </w:pPr>
      <w:bookmarkStart w:id="122" w:name="_Toc400529682"/>
      <w:bookmarkStart w:id="123" w:name="_Toc371174614"/>
      <w:bookmarkStart w:id="124" w:name="_Toc400530783"/>
      <w:bookmarkStart w:id="125" w:name="_Toc30359"/>
      <w:r>
        <w:rPr>
          <w:rFonts w:hint="default"/>
          <w:color w:val="auto"/>
        </w:rPr>
        <w:t>4.1工程措施</w:t>
      </w:r>
      <w:bookmarkEnd w:id="122"/>
      <w:bookmarkEnd w:id="123"/>
      <w:bookmarkEnd w:id="124"/>
      <w:r>
        <w:rPr>
          <w:rFonts w:hint="default"/>
          <w:color w:val="auto"/>
        </w:rPr>
        <w:t>监测结果</w:t>
      </w:r>
      <w:bookmarkEnd w:id="125"/>
    </w:p>
    <w:p>
      <w:pPr>
        <w:rPr>
          <w:rFonts w:hint="eastAsia" w:cs="Times New Roman"/>
          <w:color w:val="auto"/>
          <w:spacing w:val="0"/>
          <w:sz w:val="24"/>
          <w:lang w:eastAsia="zh-CN"/>
        </w:rPr>
      </w:pPr>
      <w:r>
        <w:rPr>
          <w:rFonts w:hint="eastAsia" w:cs="Times New Roman"/>
          <w:color w:val="auto"/>
          <w:spacing w:val="0"/>
          <w:sz w:val="24"/>
          <w:lang w:eastAsia="zh-CN"/>
        </w:rPr>
        <w:t>根据监理资料及现场调查，</w:t>
      </w:r>
      <w:r>
        <w:rPr>
          <w:rFonts w:hint="eastAsia"/>
          <w:color w:val="auto"/>
          <w:lang w:eastAsia="zh-CN"/>
        </w:rPr>
        <w:t>截止20</w:t>
      </w:r>
      <w:r>
        <w:rPr>
          <w:rFonts w:hint="eastAsia"/>
          <w:color w:val="auto"/>
          <w:lang w:val="en-US" w:eastAsia="zh-CN"/>
        </w:rPr>
        <w:t>20</w:t>
      </w:r>
      <w:r>
        <w:rPr>
          <w:rFonts w:hint="eastAsia"/>
          <w:color w:val="auto"/>
          <w:lang w:eastAsia="zh-CN"/>
        </w:rPr>
        <w:t>年</w:t>
      </w:r>
      <w:r>
        <w:rPr>
          <w:rFonts w:hint="eastAsia"/>
          <w:color w:val="auto"/>
          <w:lang w:val="en-US" w:eastAsia="zh-CN"/>
        </w:rPr>
        <w:t>10</w:t>
      </w:r>
      <w:r>
        <w:rPr>
          <w:rFonts w:hint="eastAsia"/>
          <w:color w:val="auto"/>
          <w:lang w:eastAsia="zh-CN"/>
        </w:rPr>
        <w:t>月，</w:t>
      </w:r>
      <w:r>
        <w:rPr>
          <w:rFonts w:hint="eastAsia" w:cs="Times New Roman"/>
          <w:color w:val="auto"/>
          <w:spacing w:val="0"/>
          <w:sz w:val="24"/>
          <w:lang w:eastAsia="zh-CN"/>
        </w:rPr>
        <w:t>本项目实施的水土保持工程措施如下：</w:t>
      </w:r>
    </w:p>
    <w:p>
      <w:pPr>
        <w:spacing w:after="156"/>
        <w:ind w:firstLine="480"/>
        <w:rPr>
          <w:color w:val="auto"/>
          <w:lang w:val="zh-CN" w:eastAsia="zh-CN"/>
        </w:rPr>
      </w:pPr>
      <w:r>
        <w:rPr>
          <w:rFonts w:hint="eastAsia"/>
          <w:color w:val="auto"/>
          <w:lang w:eastAsia="zh-CN"/>
        </w:rPr>
        <w:t>工程措施：主体已实施共计道路边沟41330m，桥梁排水管36m，挡渣墙442m，截水沟35m，综合护坡</w:t>
      </w:r>
      <w:r>
        <w:rPr>
          <w:rFonts w:hint="eastAsia"/>
          <w:color w:val="auto"/>
          <w:lang w:val="en-US" w:eastAsia="zh-CN"/>
        </w:rPr>
        <w:t>21117m</w:t>
      </w:r>
      <w:r>
        <w:rPr>
          <w:rFonts w:hint="eastAsia"/>
          <w:color w:val="auto"/>
          <w:vertAlign w:val="superscript"/>
          <w:lang w:val="en-US" w:eastAsia="zh-CN"/>
        </w:rPr>
        <w:t>2</w:t>
      </w:r>
      <w:r>
        <w:rPr>
          <w:rFonts w:hint="eastAsia"/>
          <w:color w:val="auto"/>
          <w:lang w:val="en-US" w:eastAsia="zh-CN"/>
        </w:rPr>
        <w:t>，覆土整治2.17hm</w:t>
      </w:r>
      <w:r>
        <w:rPr>
          <w:rFonts w:hint="eastAsia"/>
          <w:color w:val="auto"/>
          <w:vertAlign w:val="superscript"/>
          <w:lang w:val="en-US" w:eastAsia="zh-CN"/>
        </w:rPr>
        <w:t>2</w:t>
      </w:r>
      <w:r>
        <w:rPr>
          <w:rFonts w:hint="eastAsia"/>
          <w:color w:val="auto"/>
          <w:lang w:val="en-US" w:eastAsia="zh-CN"/>
        </w:rPr>
        <w:t>，植物攀爬网9381m</w:t>
      </w:r>
      <w:r>
        <w:rPr>
          <w:rFonts w:hint="eastAsia"/>
          <w:color w:val="auto"/>
          <w:vertAlign w:val="superscript"/>
          <w:lang w:val="en-US" w:eastAsia="zh-CN"/>
        </w:rPr>
        <w:t>2</w:t>
      </w:r>
      <w:r>
        <w:rPr>
          <w:rFonts w:hint="eastAsia"/>
          <w:color w:val="auto"/>
          <w:lang w:val="en-US" w:eastAsia="zh-CN"/>
        </w:rPr>
        <w:t>。</w:t>
      </w:r>
    </w:p>
    <w:p>
      <w:pPr>
        <w:rPr>
          <w:rFonts w:hint="eastAsia"/>
          <w:color w:val="auto"/>
          <w:lang w:val="en-US" w:eastAsia="zh-CN"/>
        </w:rPr>
      </w:pPr>
      <w:r>
        <w:rPr>
          <w:rFonts w:ascii="Times New Roman" w:hAnsi="Times New Roman" w:eastAsia="仿宋_GB2312"/>
          <w:color w:val="auto"/>
        </w:rPr>
        <w:t>本工程水土保持</w:t>
      </w:r>
      <w:r>
        <w:rPr>
          <w:rFonts w:ascii="Times New Roman" w:hAnsi="Times New Roman" w:eastAsia="仿宋_GB2312"/>
          <w:color w:val="auto"/>
          <w:lang w:eastAsia="zh-CN"/>
        </w:rPr>
        <w:t>工程</w:t>
      </w:r>
      <w:r>
        <w:rPr>
          <w:rFonts w:ascii="Times New Roman" w:hAnsi="Times New Roman" w:eastAsia="仿宋_GB2312"/>
          <w:color w:val="auto"/>
        </w:rPr>
        <w:t>设施完成情况详见表</w:t>
      </w:r>
      <w:r>
        <w:rPr>
          <w:rFonts w:hint="eastAsia" w:ascii="Times New Roman" w:hAnsi="Times New Roman"/>
          <w:color w:val="auto"/>
          <w:lang w:val="en-US" w:eastAsia="zh-CN"/>
        </w:rPr>
        <w:t>4-1。</w:t>
      </w:r>
    </w:p>
    <w:p>
      <w:pPr>
        <w:pStyle w:val="17"/>
        <w:rPr>
          <w:rFonts w:hint="eastAsia"/>
          <w:color w:val="auto"/>
          <w:lang w:val="en-US" w:eastAsia="zh-CN"/>
        </w:rPr>
      </w:pPr>
      <w:r>
        <w:rPr>
          <w:rFonts w:hint="eastAsia"/>
          <w:color w:val="auto"/>
          <w:lang w:val="en-US" w:eastAsia="zh-CN"/>
        </w:rPr>
        <w:t>表4-1水土保持工程措施实施情况</w:t>
      </w:r>
    </w:p>
    <w:tbl>
      <w:tblPr>
        <w:tblStyle w:val="11"/>
        <w:tblW w:w="8336" w:type="dxa"/>
        <w:tblInd w:w="0" w:type="dxa"/>
        <w:shd w:val="clear" w:color="auto" w:fill="auto"/>
        <w:tblLayout w:type="fixed"/>
        <w:tblCellMar>
          <w:top w:w="0" w:type="dxa"/>
          <w:left w:w="0" w:type="dxa"/>
          <w:bottom w:w="0" w:type="dxa"/>
          <w:right w:w="0" w:type="dxa"/>
        </w:tblCellMar>
      </w:tblPr>
      <w:tblGrid>
        <w:gridCol w:w="1226"/>
        <w:gridCol w:w="2942"/>
        <w:gridCol w:w="1226"/>
        <w:gridCol w:w="2942"/>
      </w:tblGrid>
      <w:tr>
        <w:tblPrEx>
          <w:shd w:val="clear" w:color="auto" w:fill="auto"/>
          <w:tblCellMar>
            <w:top w:w="0" w:type="dxa"/>
            <w:left w:w="0" w:type="dxa"/>
            <w:bottom w:w="0" w:type="dxa"/>
            <w:right w:w="0" w:type="dxa"/>
          </w:tblCellMar>
        </w:tblPrEx>
        <w:trPr>
          <w:trHeight w:val="510" w:hRule="atLeast"/>
        </w:trPr>
        <w:tc>
          <w:tcPr>
            <w:tcW w:w="1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color w:val="auto"/>
              </w:rPr>
            </w:pPr>
            <w:bookmarkStart w:id="126" w:name="_Toc371174615"/>
            <w:bookmarkStart w:id="127" w:name="_Toc400530784"/>
            <w:bookmarkStart w:id="128" w:name="_Toc400529683"/>
            <w:bookmarkStart w:id="129" w:name="_Toc290122051"/>
            <w:r>
              <w:rPr>
                <w:rFonts w:hint="eastAsia"/>
                <w:color w:val="auto"/>
                <w:lang w:val="en-US" w:eastAsia="zh-CN"/>
              </w:rPr>
              <w:t>序号</w:t>
            </w:r>
          </w:p>
        </w:tc>
        <w:tc>
          <w:tcPr>
            <w:tcW w:w="2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项目</w:t>
            </w:r>
          </w:p>
        </w:tc>
        <w:tc>
          <w:tcPr>
            <w:tcW w:w="1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单位</w:t>
            </w:r>
          </w:p>
        </w:tc>
        <w:tc>
          <w:tcPr>
            <w:tcW w:w="2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现场实际量</w:t>
            </w:r>
          </w:p>
        </w:tc>
      </w:tr>
      <w:tr>
        <w:tblPrEx>
          <w:tblCellMar>
            <w:top w:w="0" w:type="dxa"/>
            <w:left w:w="0" w:type="dxa"/>
            <w:bottom w:w="0" w:type="dxa"/>
            <w:right w:w="0" w:type="dxa"/>
          </w:tblCellMar>
        </w:tblPrEx>
        <w:trPr>
          <w:trHeight w:val="270" w:hRule="atLeast"/>
        </w:trPr>
        <w:tc>
          <w:tcPr>
            <w:tcW w:w="1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Ⅰ</w:t>
            </w:r>
          </w:p>
        </w:tc>
        <w:tc>
          <w:tcPr>
            <w:tcW w:w="2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工程措施</w:t>
            </w:r>
          </w:p>
        </w:tc>
        <w:tc>
          <w:tcPr>
            <w:tcW w:w="1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p>
        </w:tc>
        <w:tc>
          <w:tcPr>
            <w:tcW w:w="2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p>
        </w:tc>
      </w:tr>
      <w:tr>
        <w:tblPrEx>
          <w:tblCellMar>
            <w:top w:w="0" w:type="dxa"/>
            <w:left w:w="0" w:type="dxa"/>
            <w:bottom w:w="0" w:type="dxa"/>
            <w:right w:w="0" w:type="dxa"/>
          </w:tblCellMar>
        </w:tblPrEx>
        <w:trPr>
          <w:trHeight w:val="270" w:hRule="atLeast"/>
        </w:trPr>
        <w:tc>
          <w:tcPr>
            <w:tcW w:w="1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一</w:t>
            </w:r>
          </w:p>
        </w:tc>
        <w:tc>
          <w:tcPr>
            <w:tcW w:w="2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路基工程区</w:t>
            </w:r>
          </w:p>
        </w:tc>
        <w:tc>
          <w:tcPr>
            <w:tcW w:w="1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p>
        </w:tc>
        <w:tc>
          <w:tcPr>
            <w:tcW w:w="2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p>
        </w:tc>
      </w:tr>
      <w:tr>
        <w:tblPrEx>
          <w:tblCellMar>
            <w:top w:w="0" w:type="dxa"/>
            <w:left w:w="0" w:type="dxa"/>
            <w:bottom w:w="0" w:type="dxa"/>
            <w:right w:w="0" w:type="dxa"/>
          </w:tblCellMar>
        </w:tblPrEx>
        <w:trPr>
          <w:trHeight w:val="270" w:hRule="atLeast"/>
        </w:trPr>
        <w:tc>
          <w:tcPr>
            <w:tcW w:w="1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1</w:t>
            </w:r>
          </w:p>
        </w:tc>
        <w:tc>
          <w:tcPr>
            <w:tcW w:w="2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道路边沟</w:t>
            </w:r>
          </w:p>
        </w:tc>
        <w:tc>
          <w:tcPr>
            <w:tcW w:w="1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m</w:t>
            </w:r>
          </w:p>
        </w:tc>
        <w:tc>
          <w:tcPr>
            <w:tcW w:w="2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41275</w:t>
            </w:r>
          </w:p>
        </w:tc>
      </w:tr>
      <w:tr>
        <w:tblPrEx>
          <w:tblCellMar>
            <w:top w:w="0" w:type="dxa"/>
            <w:left w:w="0" w:type="dxa"/>
            <w:bottom w:w="0" w:type="dxa"/>
            <w:right w:w="0" w:type="dxa"/>
          </w:tblCellMar>
        </w:tblPrEx>
        <w:trPr>
          <w:trHeight w:val="270" w:hRule="atLeast"/>
        </w:trPr>
        <w:tc>
          <w:tcPr>
            <w:tcW w:w="1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2</w:t>
            </w:r>
          </w:p>
        </w:tc>
        <w:tc>
          <w:tcPr>
            <w:tcW w:w="2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综合护坡</w:t>
            </w:r>
          </w:p>
        </w:tc>
        <w:tc>
          <w:tcPr>
            <w:tcW w:w="1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m</w:t>
            </w:r>
            <w:r>
              <w:rPr>
                <w:rFonts w:hint="eastAsia"/>
                <w:color w:val="auto"/>
                <w:vertAlign w:val="superscript"/>
                <w:lang w:val="en-US" w:eastAsia="zh-CN"/>
              </w:rPr>
              <w:t>2</w:t>
            </w:r>
          </w:p>
        </w:tc>
        <w:tc>
          <w:tcPr>
            <w:tcW w:w="2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21117</w:t>
            </w:r>
          </w:p>
        </w:tc>
      </w:tr>
      <w:tr>
        <w:tblPrEx>
          <w:tblCellMar>
            <w:top w:w="0" w:type="dxa"/>
            <w:left w:w="0" w:type="dxa"/>
            <w:bottom w:w="0" w:type="dxa"/>
            <w:right w:w="0" w:type="dxa"/>
          </w:tblCellMar>
        </w:tblPrEx>
        <w:trPr>
          <w:trHeight w:val="270" w:hRule="atLeast"/>
        </w:trPr>
        <w:tc>
          <w:tcPr>
            <w:tcW w:w="1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二</w:t>
            </w:r>
          </w:p>
        </w:tc>
        <w:tc>
          <w:tcPr>
            <w:tcW w:w="2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桥梁工程区</w:t>
            </w:r>
          </w:p>
        </w:tc>
        <w:tc>
          <w:tcPr>
            <w:tcW w:w="1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p>
        </w:tc>
        <w:tc>
          <w:tcPr>
            <w:tcW w:w="2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p>
        </w:tc>
      </w:tr>
      <w:tr>
        <w:tblPrEx>
          <w:tblCellMar>
            <w:top w:w="0" w:type="dxa"/>
            <w:left w:w="0" w:type="dxa"/>
            <w:bottom w:w="0" w:type="dxa"/>
            <w:right w:w="0" w:type="dxa"/>
          </w:tblCellMar>
        </w:tblPrEx>
        <w:trPr>
          <w:trHeight w:val="270" w:hRule="atLeast"/>
        </w:trPr>
        <w:tc>
          <w:tcPr>
            <w:tcW w:w="1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1</w:t>
            </w:r>
          </w:p>
        </w:tc>
        <w:tc>
          <w:tcPr>
            <w:tcW w:w="2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桥梁排水沟</w:t>
            </w:r>
          </w:p>
        </w:tc>
        <w:tc>
          <w:tcPr>
            <w:tcW w:w="1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m</w:t>
            </w:r>
          </w:p>
        </w:tc>
        <w:tc>
          <w:tcPr>
            <w:tcW w:w="2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55</w:t>
            </w:r>
          </w:p>
        </w:tc>
      </w:tr>
      <w:tr>
        <w:tblPrEx>
          <w:tblCellMar>
            <w:top w:w="0" w:type="dxa"/>
            <w:left w:w="0" w:type="dxa"/>
            <w:bottom w:w="0" w:type="dxa"/>
            <w:right w:w="0" w:type="dxa"/>
          </w:tblCellMar>
        </w:tblPrEx>
        <w:trPr>
          <w:trHeight w:val="270" w:hRule="atLeast"/>
        </w:trPr>
        <w:tc>
          <w:tcPr>
            <w:tcW w:w="1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2</w:t>
            </w:r>
          </w:p>
        </w:tc>
        <w:tc>
          <w:tcPr>
            <w:tcW w:w="2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桥梁排水管</w:t>
            </w:r>
          </w:p>
        </w:tc>
        <w:tc>
          <w:tcPr>
            <w:tcW w:w="1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m</w:t>
            </w:r>
          </w:p>
        </w:tc>
        <w:tc>
          <w:tcPr>
            <w:tcW w:w="2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36</w:t>
            </w:r>
          </w:p>
        </w:tc>
      </w:tr>
      <w:tr>
        <w:tblPrEx>
          <w:tblCellMar>
            <w:top w:w="0" w:type="dxa"/>
            <w:left w:w="0" w:type="dxa"/>
            <w:bottom w:w="0" w:type="dxa"/>
            <w:right w:w="0" w:type="dxa"/>
          </w:tblCellMar>
        </w:tblPrEx>
        <w:trPr>
          <w:trHeight w:val="270" w:hRule="atLeast"/>
        </w:trPr>
        <w:tc>
          <w:tcPr>
            <w:tcW w:w="1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三</w:t>
            </w:r>
          </w:p>
        </w:tc>
        <w:tc>
          <w:tcPr>
            <w:tcW w:w="2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弃渣场区</w:t>
            </w:r>
          </w:p>
        </w:tc>
        <w:tc>
          <w:tcPr>
            <w:tcW w:w="1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p>
        </w:tc>
        <w:tc>
          <w:tcPr>
            <w:tcW w:w="2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p>
        </w:tc>
      </w:tr>
      <w:tr>
        <w:tblPrEx>
          <w:tblCellMar>
            <w:top w:w="0" w:type="dxa"/>
            <w:left w:w="0" w:type="dxa"/>
            <w:bottom w:w="0" w:type="dxa"/>
            <w:right w:w="0" w:type="dxa"/>
          </w:tblCellMar>
        </w:tblPrEx>
        <w:trPr>
          <w:trHeight w:val="270" w:hRule="atLeast"/>
        </w:trPr>
        <w:tc>
          <w:tcPr>
            <w:tcW w:w="1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1</w:t>
            </w:r>
          </w:p>
        </w:tc>
        <w:tc>
          <w:tcPr>
            <w:tcW w:w="2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挡渣墙</w:t>
            </w:r>
          </w:p>
        </w:tc>
        <w:tc>
          <w:tcPr>
            <w:tcW w:w="1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m</w:t>
            </w:r>
          </w:p>
        </w:tc>
        <w:tc>
          <w:tcPr>
            <w:tcW w:w="2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442</w:t>
            </w:r>
          </w:p>
        </w:tc>
      </w:tr>
      <w:tr>
        <w:tblPrEx>
          <w:tblCellMar>
            <w:top w:w="0" w:type="dxa"/>
            <w:left w:w="0" w:type="dxa"/>
            <w:bottom w:w="0" w:type="dxa"/>
            <w:right w:w="0" w:type="dxa"/>
          </w:tblCellMar>
        </w:tblPrEx>
        <w:trPr>
          <w:trHeight w:val="270" w:hRule="atLeast"/>
        </w:trPr>
        <w:tc>
          <w:tcPr>
            <w:tcW w:w="1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2</w:t>
            </w:r>
          </w:p>
        </w:tc>
        <w:tc>
          <w:tcPr>
            <w:tcW w:w="2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截水沟</w:t>
            </w:r>
          </w:p>
        </w:tc>
        <w:tc>
          <w:tcPr>
            <w:tcW w:w="1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m</w:t>
            </w:r>
          </w:p>
        </w:tc>
        <w:tc>
          <w:tcPr>
            <w:tcW w:w="2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35</w:t>
            </w:r>
          </w:p>
        </w:tc>
      </w:tr>
      <w:tr>
        <w:tblPrEx>
          <w:tblCellMar>
            <w:top w:w="0" w:type="dxa"/>
            <w:left w:w="0" w:type="dxa"/>
            <w:bottom w:w="0" w:type="dxa"/>
            <w:right w:w="0" w:type="dxa"/>
          </w:tblCellMar>
        </w:tblPrEx>
        <w:trPr>
          <w:trHeight w:val="270" w:hRule="atLeast"/>
        </w:trPr>
        <w:tc>
          <w:tcPr>
            <w:tcW w:w="1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四</w:t>
            </w:r>
          </w:p>
        </w:tc>
        <w:tc>
          <w:tcPr>
            <w:tcW w:w="2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取料场区</w:t>
            </w:r>
          </w:p>
        </w:tc>
        <w:tc>
          <w:tcPr>
            <w:tcW w:w="1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p>
        </w:tc>
        <w:tc>
          <w:tcPr>
            <w:tcW w:w="2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p>
        </w:tc>
      </w:tr>
      <w:tr>
        <w:tblPrEx>
          <w:tblCellMar>
            <w:top w:w="0" w:type="dxa"/>
            <w:left w:w="0" w:type="dxa"/>
            <w:bottom w:w="0" w:type="dxa"/>
            <w:right w:w="0" w:type="dxa"/>
          </w:tblCellMar>
        </w:tblPrEx>
        <w:trPr>
          <w:trHeight w:val="270" w:hRule="atLeast"/>
        </w:trPr>
        <w:tc>
          <w:tcPr>
            <w:tcW w:w="1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1</w:t>
            </w:r>
          </w:p>
        </w:tc>
        <w:tc>
          <w:tcPr>
            <w:tcW w:w="2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覆土整治</w:t>
            </w:r>
          </w:p>
        </w:tc>
        <w:tc>
          <w:tcPr>
            <w:tcW w:w="1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hm</w:t>
            </w:r>
            <w:r>
              <w:rPr>
                <w:rFonts w:hint="eastAsia"/>
                <w:color w:val="auto"/>
                <w:vertAlign w:val="superscript"/>
                <w:lang w:val="en-US" w:eastAsia="zh-CN"/>
              </w:rPr>
              <w:t>2</w:t>
            </w:r>
          </w:p>
        </w:tc>
        <w:tc>
          <w:tcPr>
            <w:tcW w:w="2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1.73</w:t>
            </w:r>
          </w:p>
        </w:tc>
      </w:tr>
      <w:tr>
        <w:tblPrEx>
          <w:tblCellMar>
            <w:top w:w="0" w:type="dxa"/>
            <w:left w:w="0" w:type="dxa"/>
            <w:bottom w:w="0" w:type="dxa"/>
            <w:right w:w="0" w:type="dxa"/>
          </w:tblCellMar>
        </w:tblPrEx>
        <w:trPr>
          <w:trHeight w:val="270" w:hRule="atLeast"/>
        </w:trPr>
        <w:tc>
          <w:tcPr>
            <w:tcW w:w="1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2</w:t>
            </w:r>
          </w:p>
        </w:tc>
        <w:tc>
          <w:tcPr>
            <w:tcW w:w="2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植物攀爬网</w:t>
            </w:r>
          </w:p>
        </w:tc>
        <w:tc>
          <w:tcPr>
            <w:tcW w:w="1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m</w:t>
            </w:r>
            <w:r>
              <w:rPr>
                <w:rFonts w:hint="eastAsia"/>
                <w:color w:val="auto"/>
                <w:vertAlign w:val="superscript"/>
                <w:lang w:val="en-US" w:eastAsia="zh-CN"/>
              </w:rPr>
              <w:t>2</w:t>
            </w:r>
          </w:p>
        </w:tc>
        <w:tc>
          <w:tcPr>
            <w:tcW w:w="2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9381</w:t>
            </w:r>
          </w:p>
        </w:tc>
      </w:tr>
      <w:tr>
        <w:tblPrEx>
          <w:tblCellMar>
            <w:top w:w="0" w:type="dxa"/>
            <w:left w:w="0" w:type="dxa"/>
            <w:bottom w:w="0" w:type="dxa"/>
            <w:right w:w="0" w:type="dxa"/>
          </w:tblCellMar>
        </w:tblPrEx>
        <w:trPr>
          <w:trHeight w:val="270" w:hRule="atLeast"/>
        </w:trPr>
        <w:tc>
          <w:tcPr>
            <w:tcW w:w="1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五</w:t>
            </w:r>
          </w:p>
        </w:tc>
        <w:tc>
          <w:tcPr>
            <w:tcW w:w="2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拌合站区</w:t>
            </w:r>
          </w:p>
        </w:tc>
        <w:tc>
          <w:tcPr>
            <w:tcW w:w="1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p>
        </w:tc>
        <w:tc>
          <w:tcPr>
            <w:tcW w:w="2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p>
        </w:tc>
      </w:tr>
      <w:tr>
        <w:tblPrEx>
          <w:tblCellMar>
            <w:top w:w="0" w:type="dxa"/>
            <w:left w:w="0" w:type="dxa"/>
            <w:bottom w:w="0" w:type="dxa"/>
            <w:right w:w="0" w:type="dxa"/>
          </w:tblCellMar>
        </w:tblPrEx>
        <w:trPr>
          <w:trHeight w:val="270" w:hRule="atLeast"/>
        </w:trPr>
        <w:tc>
          <w:tcPr>
            <w:tcW w:w="1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1</w:t>
            </w:r>
          </w:p>
        </w:tc>
        <w:tc>
          <w:tcPr>
            <w:tcW w:w="2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覆土整治</w:t>
            </w:r>
          </w:p>
        </w:tc>
        <w:tc>
          <w:tcPr>
            <w:tcW w:w="1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hm</w:t>
            </w:r>
            <w:r>
              <w:rPr>
                <w:rFonts w:hint="eastAsia"/>
                <w:color w:val="auto"/>
                <w:vertAlign w:val="superscript"/>
                <w:lang w:val="en-US" w:eastAsia="zh-CN"/>
              </w:rPr>
              <w:t>2</w:t>
            </w:r>
          </w:p>
        </w:tc>
        <w:tc>
          <w:tcPr>
            <w:tcW w:w="2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0.44</w:t>
            </w:r>
          </w:p>
        </w:tc>
      </w:tr>
    </w:tbl>
    <w:p>
      <w:pPr>
        <w:pStyle w:val="3"/>
        <w:rPr>
          <w:rFonts w:hint="default"/>
          <w:color w:val="auto"/>
        </w:rPr>
      </w:pPr>
      <w:bookmarkStart w:id="130" w:name="_Toc25212"/>
      <w:r>
        <w:rPr>
          <w:rFonts w:hint="default"/>
          <w:color w:val="auto"/>
        </w:rPr>
        <w:t>4.2植物措施</w:t>
      </w:r>
      <w:bookmarkEnd w:id="126"/>
      <w:bookmarkEnd w:id="127"/>
      <w:bookmarkEnd w:id="128"/>
      <w:bookmarkEnd w:id="129"/>
      <w:r>
        <w:rPr>
          <w:rFonts w:hint="default"/>
          <w:color w:val="auto"/>
        </w:rPr>
        <w:t>监测结果</w:t>
      </w:r>
      <w:bookmarkEnd w:id="130"/>
    </w:p>
    <w:p>
      <w:pPr>
        <w:spacing w:after="156"/>
        <w:ind w:firstLine="480"/>
        <w:rPr>
          <w:rFonts w:hint="eastAsia" w:ascii="Times New Roman" w:hAnsi="Times New Roman"/>
          <w:color w:val="auto"/>
          <w:lang w:val="en-US" w:eastAsia="zh-CN"/>
        </w:rPr>
      </w:pPr>
      <w:r>
        <w:rPr>
          <w:rFonts w:hint="eastAsia"/>
          <w:color w:val="auto"/>
          <w:lang w:eastAsia="zh-CN"/>
        </w:rPr>
        <w:t>截止20</w:t>
      </w:r>
      <w:r>
        <w:rPr>
          <w:rFonts w:hint="eastAsia"/>
          <w:color w:val="auto"/>
          <w:lang w:val="en-US" w:eastAsia="zh-CN"/>
        </w:rPr>
        <w:t>20</w:t>
      </w:r>
      <w:r>
        <w:rPr>
          <w:rFonts w:hint="eastAsia"/>
          <w:color w:val="auto"/>
          <w:lang w:eastAsia="zh-CN"/>
        </w:rPr>
        <w:t>年</w:t>
      </w:r>
      <w:r>
        <w:rPr>
          <w:rFonts w:hint="eastAsia"/>
          <w:color w:val="auto"/>
          <w:lang w:val="en-US" w:eastAsia="zh-CN"/>
        </w:rPr>
        <w:t>10</w:t>
      </w:r>
      <w:r>
        <w:rPr>
          <w:rFonts w:hint="eastAsia"/>
          <w:color w:val="auto"/>
          <w:lang w:eastAsia="zh-CN"/>
        </w:rPr>
        <w:t>月，项目区实施的水土保持植物措施如下：</w:t>
      </w:r>
      <w:r>
        <w:rPr>
          <w:rFonts w:hint="eastAsia"/>
          <w:color w:val="auto"/>
          <w:lang w:val="en-US" w:eastAsia="zh-CN"/>
        </w:rPr>
        <w:t>混播植草3.36hm</w:t>
      </w:r>
      <w:r>
        <w:rPr>
          <w:rFonts w:hint="eastAsia"/>
          <w:color w:val="auto"/>
          <w:vertAlign w:val="superscript"/>
          <w:lang w:val="en-US" w:eastAsia="zh-CN"/>
        </w:rPr>
        <w:t>2</w:t>
      </w:r>
      <w:r>
        <w:rPr>
          <w:rFonts w:hint="eastAsia"/>
          <w:color w:val="auto"/>
          <w:lang w:val="en-US" w:eastAsia="zh-CN"/>
        </w:rPr>
        <w:t>，植草护坡3.65hm</w:t>
      </w:r>
      <w:r>
        <w:rPr>
          <w:rFonts w:hint="eastAsia"/>
          <w:color w:val="auto"/>
          <w:vertAlign w:val="superscript"/>
          <w:lang w:val="en-US" w:eastAsia="zh-CN"/>
        </w:rPr>
        <w:t>2</w:t>
      </w:r>
      <w:r>
        <w:rPr>
          <w:rFonts w:hint="eastAsia"/>
          <w:color w:val="auto"/>
          <w:lang w:val="en-US" w:eastAsia="zh-CN"/>
        </w:rPr>
        <w:t>，种行道树13908株，种植油麻藤235株，播撒草种3.55hm</w:t>
      </w:r>
      <w:r>
        <w:rPr>
          <w:rFonts w:hint="eastAsia"/>
          <w:color w:val="auto"/>
          <w:vertAlign w:val="superscript"/>
          <w:lang w:val="en-US" w:eastAsia="zh-CN"/>
        </w:rPr>
        <w:t>2</w:t>
      </w:r>
      <w:r>
        <w:rPr>
          <w:rFonts w:hint="eastAsia"/>
          <w:color w:val="auto"/>
          <w:lang w:val="en-US" w:eastAsia="zh-CN"/>
        </w:rPr>
        <w:t>。</w:t>
      </w:r>
      <w:r>
        <w:rPr>
          <w:rFonts w:ascii="Times New Roman" w:hAnsi="Times New Roman" w:eastAsia="仿宋_GB2312"/>
          <w:color w:val="auto"/>
        </w:rPr>
        <w:t>绿化实际完成情况见表</w:t>
      </w:r>
      <w:r>
        <w:rPr>
          <w:rFonts w:hint="eastAsia" w:ascii="Times New Roman" w:hAnsi="Times New Roman"/>
          <w:color w:val="auto"/>
          <w:lang w:val="en-US" w:eastAsia="zh-CN"/>
        </w:rPr>
        <w:t>4-2。</w:t>
      </w:r>
    </w:p>
    <w:p>
      <w:pPr>
        <w:spacing w:after="156"/>
        <w:ind w:firstLine="480"/>
        <w:rPr>
          <w:rFonts w:hint="eastAsia" w:ascii="Times New Roman" w:hAnsi="Times New Roman"/>
          <w:color w:val="auto"/>
          <w:lang w:val="en-US" w:eastAsia="zh-CN"/>
        </w:rPr>
      </w:pPr>
    </w:p>
    <w:p>
      <w:pPr>
        <w:spacing w:after="156"/>
        <w:ind w:firstLine="480"/>
        <w:rPr>
          <w:rFonts w:hint="eastAsia" w:ascii="Times New Roman" w:hAnsi="Times New Roman"/>
          <w:color w:val="auto"/>
          <w:lang w:val="en-US" w:eastAsia="zh-CN"/>
        </w:rPr>
      </w:pPr>
    </w:p>
    <w:p>
      <w:pPr>
        <w:spacing w:after="156"/>
        <w:ind w:firstLine="480"/>
        <w:rPr>
          <w:rFonts w:hint="eastAsia" w:ascii="Times New Roman" w:hAnsi="Times New Roman"/>
          <w:color w:val="auto"/>
          <w:lang w:val="en-US" w:eastAsia="zh-CN"/>
        </w:rPr>
      </w:pPr>
    </w:p>
    <w:p>
      <w:pPr>
        <w:spacing w:after="156"/>
        <w:ind w:firstLine="480"/>
        <w:rPr>
          <w:rFonts w:hint="eastAsia" w:ascii="Times New Roman" w:hAnsi="Times New Roman"/>
          <w:color w:val="auto"/>
          <w:lang w:val="en-US" w:eastAsia="zh-CN"/>
        </w:rPr>
      </w:pPr>
    </w:p>
    <w:p>
      <w:pPr>
        <w:spacing w:after="156"/>
        <w:ind w:firstLine="480"/>
        <w:rPr>
          <w:rFonts w:hint="default" w:ascii="Times New Roman" w:hAnsi="Times New Roman"/>
          <w:color w:val="auto"/>
          <w:lang w:val="en-US" w:eastAsia="zh-CN"/>
        </w:rPr>
      </w:pPr>
    </w:p>
    <w:p>
      <w:pPr>
        <w:pStyle w:val="17"/>
        <w:rPr>
          <w:rFonts w:hint="default"/>
          <w:color w:val="auto"/>
        </w:rPr>
      </w:pPr>
      <w:r>
        <w:rPr>
          <w:rFonts w:hint="default"/>
          <w:color w:val="auto"/>
        </w:rPr>
        <w:t>表4-</w:t>
      </w:r>
      <w:r>
        <w:rPr>
          <w:rFonts w:hint="eastAsia"/>
          <w:color w:val="auto"/>
          <w:lang w:val="en-US" w:eastAsia="zh-CN"/>
        </w:rPr>
        <w:t>2</w:t>
      </w:r>
      <w:r>
        <w:rPr>
          <w:rFonts w:hint="default"/>
          <w:color w:val="auto"/>
        </w:rPr>
        <w:t xml:space="preserve">       </w:t>
      </w:r>
      <w:r>
        <w:rPr>
          <w:color w:val="auto"/>
        </w:rPr>
        <w:t>水土保持植物措施主要工程量</w:t>
      </w:r>
      <w:r>
        <w:rPr>
          <w:rFonts w:hint="eastAsia"/>
          <w:color w:val="auto"/>
          <w:lang w:eastAsia="zh-CN"/>
        </w:rPr>
        <w:t>实施</w:t>
      </w:r>
      <w:r>
        <w:rPr>
          <w:color w:val="auto"/>
        </w:rPr>
        <w:t>情况</w:t>
      </w:r>
    </w:p>
    <w:p>
      <w:pPr>
        <w:pStyle w:val="6"/>
        <w:rPr>
          <w:rFonts w:hint="eastAsia" w:ascii="Times New Roman" w:hAnsi="Times New Roman" w:eastAsia="仿宋_GB2312" w:cs="Times New Roman"/>
          <w:color w:val="auto"/>
          <w:spacing w:val="0"/>
          <w:sz w:val="24"/>
        </w:rPr>
      </w:pPr>
    </w:p>
    <w:tbl>
      <w:tblPr>
        <w:tblStyle w:val="11"/>
        <w:tblW w:w="8336" w:type="dxa"/>
        <w:tblInd w:w="0" w:type="dxa"/>
        <w:shd w:val="clear" w:color="auto" w:fill="auto"/>
        <w:tblLayout w:type="fixed"/>
        <w:tblCellMar>
          <w:top w:w="0" w:type="dxa"/>
          <w:left w:w="0" w:type="dxa"/>
          <w:bottom w:w="0" w:type="dxa"/>
          <w:right w:w="0" w:type="dxa"/>
        </w:tblCellMar>
      </w:tblPr>
      <w:tblGrid>
        <w:gridCol w:w="2084"/>
        <w:gridCol w:w="2083"/>
        <w:gridCol w:w="2084"/>
        <w:gridCol w:w="2085"/>
      </w:tblGrid>
      <w:tr>
        <w:tblPrEx>
          <w:shd w:val="clear" w:color="auto" w:fill="auto"/>
          <w:tblCellMar>
            <w:top w:w="0" w:type="dxa"/>
            <w:left w:w="0" w:type="dxa"/>
            <w:bottom w:w="0" w:type="dxa"/>
            <w:right w:w="0" w:type="dxa"/>
          </w:tblCellMar>
        </w:tblPrEx>
        <w:trPr>
          <w:trHeight w:val="510" w:hRule="atLeast"/>
        </w:trPr>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color w:val="auto"/>
              </w:rPr>
            </w:pPr>
            <w:r>
              <w:rPr>
                <w:rFonts w:hint="eastAsia"/>
                <w:color w:val="auto"/>
                <w:lang w:val="en-US" w:eastAsia="zh-CN"/>
              </w:rPr>
              <w:t>序号</w:t>
            </w:r>
          </w:p>
        </w:tc>
        <w:tc>
          <w:tcPr>
            <w:tcW w:w="2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项目</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单位</w:t>
            </w:r>
          </w:p>
        </w:tc>
        <w:tc>
          <w:tcPr>
            <w:tcW w:w="2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现场实际量</w:t>
            </w:r>
          </w:p>
        </w:tc>
      </w:tr>
      <w:tr>
        <w:tblPrEx>
          <w:tblCellMar>
            <w:top w:w="0" w:type="dxa"/>
            <w:left w:w="0" w:type="dxa"/>
            <w:bottom w:w="0" w:type="dxa"/>
            <w:right w:w="0" w:type="dxa"/>
          </w:tblCellMar>
        </w:tblPrEx>
        <w:trPr>
          <w:trHeight w:val="510" w:hRule="atLeast"/>
        </w:trPr>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Ⅱ</w:t>
            </w:r>
          </w:p>
        </w:tc>
        <w:tc>
          <w:tcPr>
            <w:tcW w:w="2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植物措施</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p>
        </w:tc>
      </w:tr>
      <w:tr>
        <w:tblPrEx>
          <w:tblCellMar>
            <w:top w:w="0" w:type="dxa"/>
            <w:left w:w="0" w:type="dxa"/>
            <w:bottom w:w="0" w:type="dxa"/>
            <w:right w:w="0" w:type="dxa"/>
          </w:tblCellMar>
        </w:tblPrEx>
        <w:trPr>
          <w:trHeight w:val="270" w:hRule="atLeast"/>
        </w:trPr>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一</w:t>
            </w:r>
          </w:p>
        </w:tc>
        <w:tc>
          <w:tcPr>
            <w:tcW w:w="2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路基工程区</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p>
        </w:tc>
      </w:tr>
      <w:tr>
        <w:tblPrEx>
          <w:tblCellMar>
            <w:top w:w="0" w:type="dxa"/>
            <w:left w:w="0" w:type="dxa"/>
            <w:bottom w:w="0" w:type="dxa"/>
            <w:right w:w="0" w:type="dxa"/>
          </w:tblCellMar>
        </w:tblPrEx>
        <w:trPr>
          <w:trHeight w:val="270" w:hRule="atLeast"/>
        </w:trPr>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eastAsia="仿宋_GB2312"/>
                <w:color w:val="auto"/>
                <w:lang w:val="en-US" w:eastAsia="zh-CN"/>
              </w:rPr>
            </w:pPr>
            <w:r>
              <w:rPr>
                <w:rFonts w:hint="eastAsia"/>
                <w:color w:val="auto"/>
                <w:lang w:val="en-US" w:eastAsia="zh-CN"/>
              </w:rPr>
              <w:t>1</w:t>
            </w:r>
          </w:p>
        </w:tc>
        <w:tc>
          <w:tcPr>
            <w:tcW w:w="2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行道树</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株</w:t>
            </w:r>
          </w:p>
        </w:tc>
        <w:tc>
          <w:tcPr>
            <w:tcW w:w="2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13908</w:t>
            </w:r>
          </w:p>
        </w:tc>
      </w:tr>
      <w:tr>
        <w:tblPrEx>
          <w:tblCellMar>
            <w:top w:w="0" w:type="dxa"/>
            <w:left w:w="0" w:type="dxa"/>
            <w:bottom w:w="0" w:type="dxa"/>
            <w:right w:w="0" w:type="dxa"/>
          </w:tblCellMar>
        </w:tblPrEx>
        <w:trPr>
          <w:trHeight w:val="270" w:hRule="atLeast"/>
        </w:trPr>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eastAsia="仿宋_GB2312"/>
                <w:color w:val="auto"/>
                <w:lang w:val="en-US" w:eastAsia="zh-CN"/>
              </w:rPr>
            </w:pPr>
            <w:r>
              <w:rPr>
                <w:rFonts w:hint="eastAsia"/>
                <w:color w:val="auto"/>
                <w:lang w:val="en-US" w:eastAsia="zh-CN"/>
              </w:rPr>
              <w:t>2</w:t>
            </w:r>
          </w:p>
        </w:tc>
        <w:tc>
          <w:tcPr>
            <w:tcW w:w="2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植草护坡</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hm</w:t>
            </w:r>
            <w:r>
              <w:rPr>
                <w:rFonts w:hint="eastAsia"/>
                <w:color w:val="auto"/>
                <w:vertAlign w:val="superscript"/>
                <w:lang w:val="en-US" w:eastAsia="zh-CN"/>
              </w:rPr>
              <w:t>2</w:t>
            </w:r>
          </w:p>
        </w:tc>
        <w:tc>
          <w:tcPr>
            <w:tcW w:w="2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3.65</w:t>
            </w:r>
          </w:p>
        </w:tc>
      </w:tr>
      <w:tr>
        <w:tblPrEx>
          <w:tblCellMar>
            <w:top w:w="0" w:type="dxa"/>
            <w:left w:w="0" w:type="dxa"/>
            <w:bottom w:w="0" w:type="dxa"/>
            <w:right w:w="0" w:type="dxa"/>
          </w:tblCellMar>
        </w:tblPrEx>
        <w:trPr>
          <w:trHeight w:val="270" w:hRule="atLeast"/>
        </w:trPr>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二</w:t>
            </w:r>
          </w:p>
        </w:tc>
        <w:tc>
          <w:tcPr>
            <w:tcW w:w="2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桥梁工程区</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p>
        </w:tc>
      </w:tr>
      <w:tr>
        <w:tblPrEx>
          <w:tblCellMar>
            <w:top w:w="0" w:type="dxa"/>
            <w:left w:w="0" w:type="dxa"/>
            <w:bottom w:w="0" w:type="dxa"/>
            <w:right w:w="0" w:type="dxa"/>
          </w:tblCellMar>
        </w:tblPrEx>
        <w:trPr>
          <w:trHeight w:val="270" w:hRule="atLeast"/>
        </w:trPr>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eastAsia="仿宋_GB2312"/>
                <w:color w:val="auto"/>
                <w:lang w:val="en-US" w:eastAsia="zh-CN"/>
              </w:rPr>
            </w:pPr>
            <w:r>
              <w:rPr>
                <w:rFonts w:hint="eastAsia"/>
                <w:color w:val="auto"/>
                <w:lang w:val="en-US" w:eastAsia="zh-CN"/>
              </w:rPr>
              <w:t>1</w:t>
            </w:r>
          </w:p>
        </w:tc>
        <w:tc>
          <w:tcPr>
            <w:tcW w:w="2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混播植草</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hm</w:t>
            </w:r>
            <w:r>
              <w:rPr>
                <w:rFonts w:hint="eastAsia"/>
                <w:color w:val="auto"/>
                <w:vertAlign w:val="superscript"/>
                <w:lang w:val="en-US" w:eastAsia="zh-CN"/>
              </w:rPr>
              <w:t>2</w:t>
            </w:r>
          </w:p>
        </w:tc>
        <w:tc>
          <w:tcPr>
            <w:tcW w:w="2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0.09</w:t>
            </w:r>
          </w:p>
        </w:tc>
      </w:tr>
      <w:tr>
        <w:tblPrEx>
          <w:tblCellMar>
            <w:top w:w="0" w:type="dxa"/>
            <w:left w:w="0" w:type="dxa"/>
            <w:bottom w:w="0" w:type="dxa"/>
            <w:right w:w="0" w:type="dxa"/>
          </w:tblCellMar>
        </w:tblPrEx>
        <w:trPr>
          <w:trHeight w:val="270" w:hRule="atLeast"/>
        </w:trPr>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三</w:t>
            </w:r>
          </w:p>
        </w:tc>
        <w:tc>
          <w:tcPr>
            <w:tcW w:w="2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弃渣场区</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p>
        </w:tc>
      </w:tr>
      <w:tr>
        <w:tblPrEx>
          <w:tblCellMar>
            <w:top w:w="0" w:type="dxa"/>
            <w:left w:w="0" w:type="dxa"/>
            <w:bottom w:w="0" w:type="dxa"/>
            <w:right w:w="0" w:type="dxa"/>
          </w:tblCellMar>
        </w:tblPrEx>
        <w:trPr>
          <w:trHeight w:val="270" w:hRule="atLeast"/>
        </w:trPr>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eastAsia="仿宋_GB2312"/>
                <w:color w:val="auto"/>
                <w:lang w:val="en-US" w:eastAsia="zh-CN"/>
              </w:rPr>
            </w:pPr>
            <w:r>
              <w:rPr>
                <w:rFonts w:hint="eastAsia"/>
                <w:color w:val="auto"/>
                <w:lang w:val="en-US" w:eastAsia="zh-CN"/>
              </w:rPr>
              <w:t>1</w:t>
            </w:r>
          </w:p>
        </w:tc>
        <w:tc>
          <w:tcPr>
            <w:tcW w:w="2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混播植草</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hm</w:t>
            </w:r>
            <w:r>
              <w:rPr>
                <w:rFonts w:hint="eastAsia"/>
                <w:color w:val="auto"/>
                <w:vertAlign w:val="superscript"/>
                <w:lang w:val="en-US" w:eastAsia="zh-CN"/>
              </w:rPr>
              <w:t>2</w:t>
            </w:r>
          </w:p>
        </w:tc>
        <w:tc>
          <w:tcPr>
            <w:tcW w:w="2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2.74</w:t>
            </w:r>
          </w:p>
        </w:tc>
      </w:tr>
      <w:tr>
        <w:tblPrEx>
          <w:tblCellMar>
            <w:top w:w="0" w:type="dxa"/>
            <w:left w:w="0" w:type="dxa"/>
            <w:bottom w:w="0" w:type="dxa"/>
            <w:right w:w="0" w:type="dxa"/>
          </w:tblCellMar>
        </w:tblPrEx>
        <w:trPr>
          <w:trHeight w:val="270" w:hRule="atLeast"/>
        </w:trPr>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eastAsia="仿宋_GB2312"/>
                <w:color w:val="auto"/>
                <w:lang w:val="en-US" w:eastAsia="zh-CN"/>
              </w:rPr>
            </w:pPr>
            <w:r>
              <w:rPr>
                <w:rFonts w:hint="eastAsia"/>
                <w:color w:val="auto"/>
                <w:lang w:val="en-US" w:eastAsia="zh-CN"/>
              </w:rPr>
              <w:t>2</w:t>
            </w:r>
          </w:p>
        </w:tc>
        <w:tc>
          <w:tcPr>
            <w:tcW w:w="2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撒播草种</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hm</w:t>
            </w:r>
            <w:r>
              <w:rPr>
                <w:rFonts w:hint="eastAsia"/>
                <w:color w:val="auto"/>
                <w:vertAlign w:val="superscript"/>
                <w:lang w:val="en-US" w:eastAsia="zh-CN"/>
              </w:rPr>
              <w:t>2</w:t>
            </w:r>
          </w:p>
        </w:tc>
        <w:tc>
          <w:tcPr>
            <w:tcW w:w="2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1.38</w:t>
            </w:r>
          </w:p>
        </w:tc>
      </w:tr>
      <w:tr>
        <w:tblPrEx>
          <w:tblCellMar>
            <w:top w:w="0" w:type="dxa"/>
            <w:left w:w="0" w:type="dxa"/>
            <w:bottom w:w="0" w:type="dxa"/>
            <w:right w:w="0" w:type="dxa"/>
          </w:tblCellMar>
        </w:tblPrEx>
        <w:trPr>
          <w:trHeight w:val="270" w:hRule="atLeast"/>
        </w:trPr>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四</w:t>
            </w:r>
          </w:p>
        </w:tc>
        <w:tc>
          <w:tcPr>
            <w:tcW w:w="2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取料场区</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p>
        </w:tc>
      </w:tr>
      <w:tr>
        <w:tblPrEx>
          <w:tblCellMar>
            <w:top w:w="0" w:type="dxa"/>
            <w:left w:w="0" w:type="dxa"/>
            <w:bottom w:w="0" w:type="dxa"/>
            <w:right w:w="0" w:type="dxa"/>
          </w:tblCellMar>
        </w:tblPrEx>
        <w:trPr>
          <w:trHeight w:val="270" w:hRule="atLeast"/>
        </w:trPr>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eastAsia="仿宋_GB2312"/>
                <w:color w:val="auto"/>
                <w:lang w:val="en-US" w:eastAsia="zh-CN"/>
              </w:rPr>
            </w:pPr>
            <w:r>
              <w:rPr>
                <w:rFonts w:hint="eastAsia"/>
                <w:color w:val="auto"/>
                <w:lang w:val="en-US" w:eastAsia="zh-CN"/>
              </w:rPr>
              <w:t>1</w:t>
            </w:r>
          </w:p>
        </w:tc>
        <w:tc>
          <w:tcPr>
            <w:tcW w:w="2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混播植草</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hm</w:t>
            </w:r>
            <w:r>
              <w:rPr>
                <w:rFonts w:hint="eastAsia"/>
                <w:color w:val="auto"/>
                <w:vertAlign w:val="superscript"/>
                <w:lang w:val="en-US" w:eastAsia="zh-CN"/>
              </w:rPr>
              <w:t>2</w:t>
            </w:r>
          </w:p>
        </w:tc>
        <w:tc>
          <w:tcPr>
            <w:tcW w:w="2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0.53</w:t>
            </w:r>
          </w:p>
        </w:tc>
      </w:tr>
      <w:tr>
        <w:tblPrEx>
          <w:tblCellMar>
            <w:top w:w="0" w:type="dxa"/>
            <w:left w:w="0" w:type="dxa"/>
            <w:bottom w:w="0" w:type="dxa"/>
            <w:right w:w="0" w:type="dxa"/>
          </w:tblCellMar>
        </w:tblPrEx>
        <w:trPr>
          <w:trHeight w:val="270" w:hRule="atLeast"/>
        </w:trPr>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eastAsia="仿宋_GB2312"/>
                <w:color w:val="auto"/>
                <w:lang w:val="en-US" w:eastAsia="zh-CN"/>
              </w:rPr>
            </w:pPr>
            <w:r>
              <w:rPr>
                <w:rFonts w:hint="eastAsia"/>
                <w:color w:val="auto"/>
                <w:lang w:val="en-US" w:eastAsia="zh-CN"/>
              </w:rPr>
              <w:t>2</w:t>
            </w:r>
          </w:p>
        </w:tc>
        <w:tc>
          <w:tcPr>
            <w:tcW w:w="2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播撒草种</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hm</w:t>
            </w:r>
            <w:r>
              <w:rPr>
                <w:rFonts w:hint="eastAsia"/>
                <w:color w:val="auto"/>
                <w:vertAlign w:val="superscript"/>
                <w:lang w:val="en-US" w:eastAsia="zh-CN"/>
              </w:rPr>
              <w:t>2</w:t>
            </w:r>
          </w:p>
        </w:tc>
        <w:tc>
          <w:tcPr>
            <w:tcW w:w="2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1.73</w:t>
            </w:r>
          </w:p>
        </w:tc>
      </w:tr>
      <w:tr>
        <w:tblPrEx>
          <w:tblCellMar>
            <w:top w:w="0" w:type="dxa"/>
            <w:left w:w="0" w:type="dxa"/>
            <w:bottom w:w="0" w:type="dxa"/>
            <w:right w:w="0" w:type="dxa"/>
          </w:tblCellMar>
        </w:tblPrEx>
        <w:trPr>
          <w:trHeight w:val="270" w:hRule="atLeast"/>
        </w:trPr>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eastAsia="仿宋_GB2312"/>
                <w:color w:val="auto"/>
                <w:lang w:val="en-US" w:eastAsia="zh-CN"/>
              </w:rPr>
            </w:pPr>
            <w:r>
              <w:rPr>
                <w:rFonts w:hint="eastAsia"/>
                <w:color w:val="auto"/>
                <w:lang w:val="en-US" w:eastAsia="zh-CN"/>
              </w:rPr>
              <w:t>3</w:t>
            </w:r>
          </w:p>
        </w:tc>
        <w:tc>
          <w:tcPr>
            <w:tcW w:w="2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种植油麻藤</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株</w:t>
            </w:r>
          </w:p>
        </w:tc>
        <w:tc>
          <w:tcPr>
            <w:tcW w:w="2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235</w:t>
            </w:r>
          </w:p>
        </w:tc>
      </w:tr>
      <w:tr>
        <w:tblPrEx>
          <w:tblCellMar>
            <w:top w:w="0" w:type="dxa"/>
            <w:left w:w="0" w:type="dxa"/>
            <w:bottom w:w="0" w:type="dxa"/>
            <w:right w:w="0" w:type="dxa"/>
          </w:tblCellMar>
        </w:tblPrEx>
        <w:trPr>
          <w:trHeight w:val="270" w:hRule="atLeast"/>
        </w:trPr>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五</w:t>
            </w:r>
          </w:p>
        </w:tc>
        <w:tc>
          <w:tcPr>
            <w:tcW w:w="2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拌合站区</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p>
        </w:tc>
      </w:tr>
      <w:tr>
        <w:tblPrEx>
          <w:tblCellMar>
            <w:top w:w="0" w:type="dxa"/>
            <w:left w:w="0" w:type="dxa"/>
            <w:bottom w:w="0" w:type="dxa"/>
            <w:right w:w="0" w:type="dxa"/>
          </w:tblCellMar>
        </w:tblPrEx>
        <w:trPr>
          <w:trHeight w:val="270" w:hRule="atLeast"/>
        </w:trPr>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eastAsia="仿宋_GB2312"/>
                <w:color w:val="auto"/>
                <w:lang w:val="en-US" w:eastAsia="zh-CN"/>
              </w:rPr>
            </w:pPr>
            <w:r>
              <w:rPr>
                <w:rFonts w:hint="eastAsia"/>
                <w:color w:val="auto"/>
                <w:lang w:val="en-US" w:eastAsia="zh-CN"/>
              </w:rPr>
              <w:t>1</w:t>
            </w:r>
          </w:p>
        </w:tc>
        <w:tc>
          <w:tcPr>
            <w:tcW w:w="2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播撒草种</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hm</w:t>
            </w:r>
            <w:r>
              <w:rPr>
                <w:rFonts w:hint="eastAsia"/>
                <w:color w:val="auto"/>
                <w:vertAlign w:val="superscript"/>
                <w:lang w:val="en-US" w:eastAsia="zh-CN"/>
              </w:rPr>
              <w:t>2</w:t>
            </w:r>
          </w:p>
        </w:tc>
        <w:tc>
          <w:tcPr>
            <w:tcW w:w="2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6"/>
              <w:bidi w:val="0"/>
              <w:jc w:val="center"/>
              <w:rPr>
                <w:rFonts w:hint="eastAsia"/>
                <w:color w:val="auto"/>
              </w:rPr>
            </w:pPr>
            <w:r>
              <w:rPr>
                <w:rFonts w:hint="eastAsia"/>
                <w:color w:val="auto"/>
                <w:lang w:val="en-US" w:eastAsia="zh-CN"/>
              </w:rPr>
              <w:t>0.44</w:t>
            </w:r>
          </w:p>
        </w:tc>
      </w:tr>
    </w:tbl>
    <w:p>
      <w:pPr>
        <w:ind w:left="0" w:leftChars="0" w:firstLine="0" w:firstLineChars="0"/>
        <w:rPr>
          <w:rFonts w:hint="eastAsia"/>
          <w:color w:val="auto"/>
          <w:lang w:eastAsia="zh-CN"/>
        </w:rPr>
      </w:pPr>
    </w:p>
    <w:p>
      <w:pPr>
        <w:pStyle w:val="3"/>
        <w:rPr>
          <w:rFonts w:hint="default"/>
          <w:color w:val="auto"/>
        </w:rPr>
      </w:pPr>
      <w:bookmarkStart w:id="131" w:name="_Toc17402"/>
      <w:r>
        <w:rPr>
          <w:rFonts w:hint="default"/>
          <w:color w:val="auto"/>
        </w:rPr>
        <w:t>4.</w:t>
      </w:r>
      <w:r>
        <w:rPr>
          <w:rFonts w:hint="eastAsia"/>
          <w:color w:val="auto"/>
          <w:lang w:val="en-US" w:eastAsia="zh-CN"/>
        </w:rPr>
        <w:t>3</w:t>
      </w:r>
      <w:r>
        <w:rPr>
          <w:rFonts w:hint="default"/>
          <w:color w:val="auto"/>
        </w:rPr>
        <w:t>水土保持措施防治效果</w:t>
      </w:r>
      <w:bookmarkEnd w:id="131"/>
    </w:p>
    <w:p>
      <w:pPr>
        <w:spacing w:line="360" w:lineRule="auto"/>
        <w:ind w:firstLine="480" w:firstLineChars="200"/>
        <w:contextualSpacing/>
        <w:rPr>
          <w:rFonts w:ascii="Times New Roman" w:hAnsi="Times New Roman" w:eastAsia="仿宋_GB2312"/>
          <w:color w:val="auto"/>
          <w:sz w:val="24"/>
          <w:szCs w:val="24"/>
        </w:rPr>
      </w:pPr>
      <w:bookmarkStart w:id="132" w:name="_Toc400530787"/>
      <w:bookmarkStart w:id="133" w:name="_Toc400529686"/>
      <w:bookmarkStart w:id="134" w:name="_Toc371174618"/>
      <w:bookmarkStart w:id="135" w:name="_Toc340923138"/>
      <w:bookmarkStart w:id="136" w:name="_Toc340925782"/>
      <w:r>
        <w:rPr>
          <w:rFonts w:ascii="Times New Roman" w:hAnsi="Times New Roman" w:eastAsia="仿宋_GB2312"/>
          <w:color w:val="auto"/>
          <w:sz w:val="24"/>
          <w:szCs w:val="24"/>
        </w:rPr>
        <w:t>本工程水土保持措施的实施基本按照水土保持方案设计进行，</w:t>
      </w:r>
      <w:r>
        <w:rPr>
          <w:rFonts w:hint="eastAsia"/>
          <w:color w:val="auto"/>
          <w:sz w:val="24"/>
          <w:szCs w:val="24"/>
          <w:lang w:eastAsia="zh-CN"/>
        </w:rPr>
        <w:t>并根据现场实际情况适当调整了</w:t>
      </w:r>
      <w:r>
        <w:rPr>
          <w:rFonts w:ascii="Times New Roman" w:hAnsi="Times New Roman" w:eastAsia="仿宋_GB2312"/>
          <w:color w:val="auto"/>
          <w:sz w:val="24"/>
          <w:szCs w:val="24"/>
        </w:rPr>
        <w:t>部分措施或措施工程量</w:t>
      </w:r>
      <w:r>
        <w:rPr>
          <w:rFonts w:hint="eastAsia"/>
          <w:color w:val="auto"/>
          <w:sz w:val="24"/>
          <w:szCs w:val="24"/>
          <w:lang w:eastAsia="zh-CN"/>
        </w:rPr>
        <w:t>，提高了项目区的绿化面积及绿化效果，但仍有部分区域如取料场恢复效果不理想，建设单位需及时对长势不好的区域进行补植，并定期维护，确保植物存活率，提高绿化面积</w:t>
      </w:r>
      <w:r>
        <w:rPr>
          <w:rFonts w:ascii="Times New Roman" w:hAnsi="Times New Roman" w:eastAsia="仿宋_GB2312"/>
          <w:color w:val="auto"/>
          <w:sz w:val="24"/>
          <w:szCs w:val="24"/>
        </w:rPr>
        <w:t>。</w:t>
      </w:r>
    </w:p>
    <w:p>
      <w:pPr>
        <w:rPr>
          <w:rFonts w:hint="eastAsia"/>
          <w:color w:val="auto"/>
          <w:sz w:val="24"/>
          <w:szCs w:val="24"/>
          <w:lang w:eastAsia="zh-CN"/>
        </w:rPr>
      </w:pPr>
      <w:r>
        <w:rPr>
          <w:rFonts w:hint="eastAsia"/>
          <w:color w:val="auto"/>
          <w:sz w:val="24"/>
          <w:szCs w:val="24"/>
          <w:lang w:eastAsia="zh-CN"/>
        </w:rPr>
        <w:t>项目区部分水土保持措施防治效果如下：</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eastAsia="zh-CN"/>
        </w:rPr>
        <w:drawing>
          <wp:inline distT="0" distB="0" distL="114300" distR="114300">
            <wp:extent cx="5528945" cy="4147185"/>
            <wp:effectExtent l="0" t="0" r="14605" b="5715"/>
            <wp:docPr id="9" name="图片 9" descr="D:\项目（未完成）\225普安县G320江西坡至三板桥道路工程-谢豪\g320，11.5\10.30\IMG_0532.JPGIMG_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项目（未完成）\225普安县G320江西坡至三板桥道路工程-谢豪\g320，11.5\10.30\IMG_0532.JPGIMG_0532"/>
                    <pic:cNvPicPr>
                      <a:picLocks noChangeAspect="1"/>
                    </pic:cNvPicPr>
                  </pic:nvPicPr>
                  <pic:blipFill>
                    <a:blip r:embed="rId30"/>
                    <a:srcRect/>
                    <a:stretch>
                      <a:fillRect/>
                    </a:stretch>
                  </pic:blipFill>
                  <pic:spPr>
                    <a:xfrm>
                      <a:off x="0" y="0"/>
                      <a:ext cx="5528945" cy="4147185"/>
                    </a:xfrm>
                    <a:prstGeom prst="rect">
                      <a:avLst/>
                    </a:prstGeom>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val="en-US" w:eastAsia="zh-CN"/>
        </w:rPr>
        <w:t>1#</w:t>
      </w:r>
      <w:r>
        <w:rPr>
          <w:rFonts w:hint="eastAsia"/>
          <w:color w:val="auto"/>
          <w:sz w:val="24"/>
          <w:szCs w:val="24"/>
          <w:lang w:eastAsia="zh-CN"/>
        </w:rPr>
        <w:t>渣场区工程措施及植物措施效果</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textAlignment w:val="auto"/>
        <w:outlineLvl w:val="9"/>
        <w:rPr>
          <w:rFonts w:hint="eastAsia"/>
          <w:color w:val="auto"/>
          <w:sz w:val="24"/>
          <w:szCs w:val="24"/>
          <w:lang w:eastAsia="zh-CN"/>
        </w:rPr>
      </w:pPr>
      <w:r>
        <w:rPr>
          <w:rFonts w:hint="eastAsia"/>
          <w:color w:val="auto"/>
          <w:sz w:val="24"/>
          <w:szCs w:val="24"/>
          <w:lang w:eastAsia="zh-CN"/>
        </w:rPr>
        <w:drawing>
          <wp:inline distT="0" distB="0" distL="114300" distR="114300">
            <wp:extent cx="5528945" cy="4147185"/>
            <wp:effectExtent l="0" t="0" r="14605" b="5715"/>
            <wp:docPr id="10" name="图片 10" descr="D:\项目（未完成）\225普安县G320江西坡至三板桥道路工程-谢豪\g320，11.5\10.30\IMG_0643.JPGIMG_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项目（未完成）\225普安县G320江西坡至三板桥道路工程-谢豪\g320，11.5\10.30\IMG_0643.JPGIMG_0643"/>
                    <pic:cNvPicPr>
                      <a:picLocks noChangeAspect="1"/>
                    </pic:cNvPicPr>
                  </pic:nvPicPr>
                  <pic:blipFill>
                    <a:blip r:embed="rId31"/>
                    <a:srcRect/>
                    <a:stretch>
                      <a:fillRect/>
                    </a:stretch>
                  </pic:blipFill>
                  <pic:spPr>
                    <a:xfrm>
                      <a:off x="0" y="0"/>
                      <a:ext cx="5528945" cy="4147185"/>
                    </a:xfrm>
                    <a:prstGeom prst="rect">
                      <a:avLst/>
                    </a:prstGeom>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val="en-US" w:eastAsia="zh-CN"/>
        </w:rPr>
        <w:t>3#</w:t>
      </w:r>
      <w:r>
        <w:rPr>
          <w:rFonts w:hint="eastAsia"/>
          <w:color w:val="auto"/>
          <w:sz w:val="24"/>
          <w:szCs w:val="24"/>
          <w:lang w:eastAsia="zh-CN"/>
        </w:rPr>
        <w:t>渣场区工程措施及植物措施效果</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textAlignment w:val="auto"/>
        <w:outlineLvl w:val="9"/>
        <w:rPr>
          <w:rFonts w:hint="eastAsia"/>
          <w:color w:val="auto"/>
          <w:sz w:val="24"/>
          <w:szCs w:val="24"/>
          <w:lang w:eastAsia="zh-CN"/>
        </w:rPr>
      </w:pPr>
      <w:r>
        <w:rPr>
          <w:rFonts w:hint="eastAsia"/>
          <w:color w:val="auto"/>
          <w:sz w:val="24"/>
          <w:szCs w:val="24"/>
          <w:lang w:eastAsia="zh-CN"/>
        </w:rPr>
        <w:drawing>
          <wp:inline distT="0" distB="0" distL="114300" distR="114300">
            <wp:extent cx="5529580" cy="3731895"/>
            <wp:effectExtent l="0" t="0" r="13970" b="1905"/>
            <wp:docPr id="11" name="图片 11" descr="D:\项目（未完成）\225普安县G320江西坡至三板桥道路工程-谢豪\照片2020.07.13-2020.07.14\手机\G320\IMG_20200714_090126.jpgIMG_20200714_09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项目（未完成）\225普安县G320江西坡至三板桥道路工程-谢豪\照片2020.07.13-2020.07.14\手机\G320\IMG_20200714_090126.jpgIMG_20200714_090126"/>
                    <pic:cNvPicPr>
                      <a:picLocks noChangeAspect="1"/>
                    </pic:cNvPicPr>
                  </pic:nvPicPr>
                  <pic:blipFill>
                    <a:blip r:embed="rId32"/>
                    <a:srcRect/>
                    <a:stretch>
                      <a:fillRect/>
                    </a:stretch>
                  </pic:blipFill>
                  <pic:spPr>
                    <a:xfrm>
                      <a:off x="0" y="0"/>
                      <a:ext cx="5529580" cy="3731895"/>
                    </a:xfrm>
                    <a:prstGeom prst="rect">
                      <a:avLst/>
                    </a:prstGeom>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val="en-US" w:eastAsia="zh-CN"/>
        </w:rPr>
        <w:t>2#</w:t>
      </w:r>
      <w:r>
        <w:rPr>
          <w:rFonts w:hint="eastAsia"/>
          <w:color w:val="auto"/>
          <w:sz w:val="24"/>
          <w:szCs w:val="24"/>
          <w:lang w:eastAsia="zh-CN"/>
        </w:rPr>
        <w:t>渣场区工程措施及植物措施效果</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eastAsia="zh-CN"/>
        </w:rPr>
        <w:drawing>
          <wp:inline distT="0" distB="0" distL="114300" distR="114300">
            <wp:extent cx="5529580" cy="3110230"/>
            <wp:effectExtent l="0" t="0" r="13970" b="13970"/>
            <wp:docPr id="17" name="图片 17" descr="D:\项目（未完成）\225普安县G320江西坡至三板桥道路工程-谢豪\照片2020.07.13-2020.07.14\航拍图\G320航拍图2020.07.13\DJI_0780.JPGDJI_0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项目（未完成）\225普安县G320江西坡至三板桥道路工程-谢豪\照片2020.07.13-2020.07.14\航拍图\G320航拍图2020.07.13\DJI_0780.JPGDJI_0780"/>
                    <pic:cNvPicPr>
                      <a:picLocks noChangeAspect="1"/>
                    </pic:cNvPicPr>
                  </pic:nvPicPr>
                  <pic:blipFill>
                    <a:blip r:embed="rId33"/>
                    <a:srcRect/>
                    <a:stretch>
                      <a:fillRect/>
                    </a:stretch>
                  </pic:blipFill>
                  <pic:spPr>
                    <a:xfrm>
                      <a:off x="0" y="0"/>
                      <a:ext cx="5529580" cy="3110230"/>
                    </a:xfrm>
                    <a:prstGeom prst="rect">
                      <a:avLst/>
                    </a:prstGeom>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val="en-US" w:eastAsia="zh-CN"/>
        </w:rPr>
        <w:t>2#</w:t>
      </w:r>
      <w:r>
        <w:rPr>
          <w:rFonts w:hint="eastAsia"/>
          <w:color w:val="auto"/>
          <w:sz w:val="24"/>
          <w:szCs w:val="24"/>
          <w:lang w:eastAsia="zh-CN"/>
        </w:rPr>
        <w:t>渣场区恢复效果</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eastAsia="zh-CN"/>
        </w:rPr>
        <w:drawing>
          <wp:inline distT="0" distB="0" distL="114300" distR="114300">
            <wp:extent cx="5528945" cy="4147185"/>
            <wp:effectExtent l="0" t="0" r="14605" b="5715"/>
            <wp:docPr id="18" name="图片 18" descr="D:\项目（未完成）\225普安县G320江西坡至三板桥道路工程-谢豪\g320，11.5\普安--谢豪\IMG_20181031_171209.jpgIMG_20181031_17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项目（未完成）\225普安县G320江西坡至三板桥道路工程-谢豪\g320，11.5\普安--谢豪\IMG_20181031_171209.jpgIMG_20181031_171209"/>
                    <pic:cNvPicPr>
                      <a:picLocks noChangeAspect="1"/>
                    </pic:cNvPicPr>
                  </pic:nvPicPr>
                  <pic:blipFill>
                    <a:blip r:embed="rId34"/>
                    <a:srcRect/>
                    <a:stretch>
                      <a:fillRect/>
                    </a:stretch>
                  </pic:blipFill>
                  <pic:spPr>
                    <a:xfrm>
                      <a:off x="0" y="0"/>
                      <a:ext cx="5528945" cy="4147185"/>
                    </a:xfrm>
                    <a:prstGeom prst="rect">
                      <a:avLst/>
                    </a:prstGeom>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val="en-US" w:eastAsia="zh-CN"/>
        </w:rPr>
        <w:t>5#</w:t>
      </w:r>
      <w:r>
        <w:rPr>
          <w:rFonts w:hint="eastAsia"/>
          <w:color w:val="auto"/>
          <w:sz w:val="24"/>
          <w:szCs w:val="24"/>
          <w:lang w:eastAsia="zh-CN"/>
        </w:rPr>
        <w:t>渣场区恢复效果</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eastAsia="zh-CN"/>
        </w:rPr>
        <w:drawing>
          <wp:inline distT="0" distB="0" distL="114300" distR="114300">
            <wp:extent cx="5529580" cy="4147185"/>
            <wp:effectExtent l="0" t="0" r="13970" b="5715"/>
            <wp:docPr id="19" name="图片 19" descr="F:\QQ接收文件\1229622151\FileRecv\MobileFile\IMG_3900.JPGIMG_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QQ接收文件\1229622151\FileRecv\MobileFile\IMG_3900.JPGIMG_3900"/>
                    <pic:cNvPicPr>
                      <a:picLocks noChangeAspect="1"/>
                    </pic:cNvPicPr>
                  </pic:nvPicPr>
                  <pic:blipFill>
                    <a:blip r:embed="rId35"/>
                    <a:srcRect/>
                    <a:stretch>
                      <a:fillRect/>
                    </a:stretch>
                  </pic:blipFill>
                  <pic:spPr>
                    <a:xfrm>
                      <a:off x="0" y="0"/>
                      <a:ext cx="5529580" cy="4147185"/>
                    </a:xfrm>
                    <a:prstGeom prst="rect">
                      <a:avLst/>
                    </a:prstGeom>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eastAsia="zh-CN"/>
        </w:rPr>
        <w:t>拌合站区恢复效果</w:t>
      </w:r>
      <w:r>
        <w:rPr>
          <w:rFonts w:hint="eastAsia"/>
          <w:color w:val="auto"/>
          <w:sz w:val="24"/>
          <w:szCs w:val="24"/>
          <w:lang w:val="en-US" w:eastAsia="zh-CN"/>
        </w:rPr>
        <w:t xml:space="preserve"> </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eastAsia="zh-CN"/>
        </w:rPr>
        <w:drawing>
          <wp:inline distT="0" distB="0" distL="114300" distR="114300">
            <wp:extent cx="5529580" cy="4147185"/>
            <wp:effectExtent l="0" t="0" r="13970" b="5715"/>
            <wp:docPr id="20" name="图片 20" descr="F:\QQ接收文件\1229622151\FileRecv\MobileFile\IMG_3901.JPGIMG_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QQ接收文件\1229622151\FileRecv\MobileFile\IMG_3901.JPGIMG_3901"/>
                    <pic:cNvPicPr>
                      <a:picLocks noChangeAspect="1"/>
                    </pic:cNvPicPr>
                  </pic:nvPicPr>
                  <pic:blipFill>
                    <a:blip r:embed="rId36"/>
                    <a:srcRect/>
                    <a:stretch>
                      <a:fillRect/>
                    </a:stretch>
                  </pic:blipFill>
                  <pic:spPr>
                    <a:xfrm>
                      <a:off x="0" y="0"/>
                      <a:ext cx="5529580" cy="4147185"/>
                    </a:xfrm>
                    <a:prstGeom prst="rect">
                      <a:avLst/>
                    </a:prstGeom>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eastAsia="zh-CN"/>
        </w:rPr>
        <w:t>拌合站区恢复效果</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eastAsia="zh-CN"/>
        </w:rPr>
        <w:drawing>
          <wp:inline distT="0" distB="0" distL="114300" distR="114300">
            <wp:extent cx="5529580" cy="4147185"/>
            <wp:effectExtent l="0" t="0" r="13970" b="5715"/>
            <wp:docPr id="21" name="图片 21" descr="F:\QQ接收文件\1229622151\FileRecv\MobileFile\IMG_3886.JPGIMG_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QQ接收文件\1229622151\FileRecv\MobileFile\IMG_3886.JPGIMG_3886"/>
                    <pic:cNvPicPr>
                      <a:picLocks noChangeAspect="1"/>
                    </pic:cNvPicPr>
                  </pic:nvPicPr>
                  <pic:blipFill>
                    <a:blip r:embed="rId37"/>
                    <a:srcRect/>
                    <a:stretch>
                      <a:fillRect/>
                    </a:stretch>
                  </pic:blipFill>
                  <pic:spPr>
                    <a:xfrm>
                      <a:off x="0" y="0"/>
                      <a:ext cx="5529580" cy="4147185"/>
                    </a:xfrm>
                    <a:prstGeom prst="rect">
                      <a:avLst/>
                    </a:prstGeom>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eastAsia="zh-CN"/>
        </w:rPr>
        <w:t>取料场区恢复效果</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eastAsia="zh-CN"/>
        </w:rPr>
        <w:drawing>
          <wp:inline distT="0" distB="0" distL="114300" distR="114300">
            <wp:extent cx="5529580" cy="4147185"/>
            <wp:effectExtent l="0" t="0" r="13970" b="5715"/>
            <wp:docPr id="22" name="图片 22" descr="F:\QQ接收文件\1229622151\FileRecv\MobileFile\IMG_3888.JPGIMG_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QQ接收文件\1229622151\FileRecv\MobileFile\IMG_3888.JPGIMG_3888"/>
                    <pic:cNvPicPr>
                      <a:picLocks noChangeAspect="1"/>
                    </pic:cNvPicPr>
                  </pic:nvPicPr>
                  <pic:blipFill>
                    <a:blip r:embed="rId38"/>
                    <a:srcRect/>
                    <a:stretch>
                      <a:fillRect/>
                    </a:stretch>
                  </pic:blipFill>
                  <pic:spPr>
                    <a:xfrm>
                      <a:off x="0" y="0"/>
                      <a:ext cx="5529580" cy="4147185"/>
                    </a:xfrm>
                    <a:prstGeom prst="rect">
                      <a:avLst/>
                    </a:prstGeom>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eastAsia="zh-CN"/>
        </w:rPr>
        <w:t>取料场区恢复效果</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eastAsia="zh-CN"/>
        </w:rPr>
        <w:drawing>
          <wp:inline distT="0" distB="0" distL="114300" distR="114300">
            <wp:extent cx="5529580" cy="4147185"/>
            <wp:effectExtent l="0" t="0" r="13970" b="5715"/>
            <wp:docPr id="23" name="图片 23" descr="D:\项目（未完成）\225普安县G320江西坡至三板桥道路工程-谢豪\照片2020.07.13-2020.07.14\手机\G320\IMG_20200714_084239.jpgIMG_20200714_08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项目（未完成）\225普安县G320江西坡至三板桥道路工程-谢豪\照片2020.07.13-2020.07.14\手机\G320\IMG_20200714_084239.jpgIMG_20200714_084239"/>
                    <pic:cNvPicPr>
                      <a:picLocks noChangeAspect="1"/>
                    </pic:cNvPicPr>
                  </pic:nvPicPr>
                  <pic:blipFill>
                    <a:blip r:embed="rId39"/>
                    <a:srcRect/>
                    <a:stretch>
                      <a:fillRect/>
                    </a:stretch>
                  </pic:blipFill>
                  <pic:spPr>
                    <a:xfrm>
                      <a:off x="0" y="0"/>
                      <a:ext cx="5529580" cy="4147185"/>
                    </a:xfrm>
                    <a:prstGeom prst="rect">
                      <a:avLst/>
                    </a:prstGeom>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eastAsia="zh-CN"/>
        </w:rPr>
        <w:t>取料场区恢复效果</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eastAsia="zh-CN"/>
        </w:rPr>
        <w:drawing>
          <wp:inline distT="0" distB="0" distL="114300" distR="114300">
            <wp:extent cx="5529580" cy="4147185"/>
            <wp:effectExtent l="0" t="0" r="13970" b="5715"/>
            <wp:docPr id="24" name="图片 24" descr="D:\项目（未完成）\225普安县G320江西坡至三板桥道路工程-谢豪\照片2020.07.13-2020.07.14\手机\G320\IMG_20200714_085506.jpgIMG_20200714_08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项目（未完成）\225普安县G320江西坡至三板桥道路工程-谢豪\照片2020.07.13-2020.07.14\手机\G320\IMG_20200714_085506.jpgIMG_20200714_085506"/>
                    <pic:cNvPicPr>
                      <a:picLocks noChangeAspect="1"/>
                    </pic:cNvPicPr>
                  </pic:nvPicPr>
                  <pic:blipFill>
                    <a:blip r:embed="rId40"/>
                    <a:srcRect/>
                    <a:stretch>
                      <a:fillRect/>
                    </a:stretch>
                  </pic:blipFill>
                  <pic:spPr>
                    <a:xfrm>
                      <a:off x="0" y="0"/>
                      <a:ext cx="5529580" cy="4147185"/>
                    </a:xfrm>
                    <a:prstGeom prst="rect">
                      <a:avLst/>
                    </a:prstGeom>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val="en-US" w:eastAsia="zh-CN"/>
        </w:rPr>
        <w:t>路基工程区</w:t>
      </w:r>
      <w:r>
        <w:rPr>
          <w:rFonts w:hint="eastAsia"/>
          <w:color w:val="auto"/>
          <w:sz w:val="24"/>
          <w:szCs w:val="24"/>
          <w:lang w:eastAsia="zh-CN"/>
        </w:rPr>
        <w:t>恢复效果</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eastAsia="zh-CN"/>
        </w:rPr>
        <w:drawing>
          <wp:inline distT="0" distB="0" distL="114300" distR="114300">
            <wp:extent cx="5529580" cy="4147185"/>
            <wp:effectExtent l="0" t="0" r="13970" b="5715"/>
            <wp:docPr id="25" name="图片 25" descr="D:\项目（未完成）\225普安县G320江西坡至三板桥道路工程-谢豪\照片2020.07.13-2020.07.14\手机\G320\IMG_20200714_091647.jpgIMG_20200714_09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项目（未完成）\225普安县G320江西坡至三板桥道路工程-谢豪\照片2020.07.13-2020.07.14\手机\G320\IMG_20200714_091647.jpgIMG_20200714_091647"/>
                    <pic:cNvPicPr>
                      <a:picLocks noChangeAspect="1"/>
                    </pic:cNvPicPr>
                  </pic:nvPicPr>
                  <pic:blipFill>
                    <a:blip r:embed="rId41"/>
                    <a:srcRect/>
                    <a:stretch>
                      <a:fillRect/>
                    </a:stretch>
                  </pic:blipFill>
                  <pic:spPr>
                    <a:xfrm>
                      <a:off x="0" y="0"/>
                      <a:ext cx="5529580" cy="4147185"/>
                    </a:xfrm>
                    <a:prstGeom prst="rect">
                      <a:avLst/>
                    </a:prstGeom>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val="en-US" w:eastAsia="zh-CN"/>
        </w:rPr>
        <w:t>路基工程区</w:t>
      </w:r>
      <w:r>
        <w:rPr>
          <w:rFonts w:hint="eastAsia"/>
          <w:color w:val="auto"/>
          <w:sz w:val="24"/>
          <w:szCs w:val="24"/>
          <w:lang w:eastAsia="zh-CN"/>
        </w:rPr>
        <w:t>恢复效果</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eastAsia="zh-CN"/>
        </w:rPr>
        <w:drawing>
          <wp:inline distT="0" distB="0" distL="114300" distR="114300">
            <wp:extent cx="5529580" cy="4147185"/>
            <wp:effectExtent l="0" t="0" r="13970" b="5715"/>
            <wp:docPr id="26" name="图片 26" descr="D:\项目（未完成）\225普安县G320江西坡至三板桥道路工程-谢豪\照片2020.07.13-2020.07.14\手机\G320\IMG_20200714_091704.jpgIMG_20200714_09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项目（未完成）\225普安县G320江西坡至三板桥道路工程-谢豪\照片2020.07.13-2020.07.14\手机\G320\IMG_20200714_091704.jpgIMG_20200714_091704"/>
                    <pic:cNvPicPr>
                      <a:picLocks noChangeAspect="1"/>
                    </pic:cNvPicPr>
                  </pic:nvPicPr>
                  <pic:blipFill>
                    <a:blip r:embed="rId42"/>
                    <a:srcRect/>
                    <a:stretch>
                      <a:fillRect/>
                    </a:stretch>
                  </pic:blipFill>
                  <pic:spPr>
                    <a:xfrm>
                      <a:off x="0" y="0"/>
                      <a:ext cx="5529580" cy="4147185"/>
                    </a:xfrm>
                    <a:prstGeom prst="rect">
                      <a:avLst/>
                    </a:prstGeom>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val="en-US" w:eastAsia="zh-CN"/>
        </w:rPr>
        <w:t>路基工程区</w:t>
      </w:r>
      <w:r>
        <w:rPr>
          <w:rFonts w:hint="eastAsia"/>
          <w:color w:val="auto"/>
          <w:sz w:val="24"/>
          <w:szCs w:val="24"/>
          <w:lang w:eastAsia="zh-CN"/>
        </w:rPr>
        <w:t>恢复效果</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eastAsia="zh-CN"/>
        </w:rPr>
        <w:drawing>
          <wp:inline distT="0" distB="0" distL="114300" distR="114300">
            <wp:extent cx="5529580" cy="4147185"/>
            <wp:effectExtent l="0" t="0" r="13970" b="5715"/>
            <wp:docPr id="27" name="图片 27" descr="D:\项目（未完成）\225普安县G320江西坡至三板桥道路工程-谢豪\照片2020.07.13-2020.07.14\手机\G320\IMG_20200714_094052.jpgIMG_20200714_09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项目（未完成）\225普安县G320江西坡至三板桥道路工程-谢豪\照片2020.07.13-2020.07.14\手机\G320\IMG_20200714_094052.jpgIMG_20200714_094052"/>
                    <pic:cNvPicPr>
                      <a:picLocks noChangeAspect="1"/>
                    </pic:cNvPicPr>
                  </pic:nvPicPr>
                  <pic:blipFill>
                    <a:blip r:embed="rId43"/>
                    <a:srcRect/>
                    <a:stretch>
                      <a:fillRect/>
                    </a:stretch>
                  </pic:blipFill>
                  <pic:spPr>
                    <a:xfrm>
                      <a:off x="0" y="0"/>
                      <a:ext cx="5529580" cy="4147185"/>
                    </a:xfrm>
                    <a:prstGeom prst="rect">
                      <a:avLst/>
                    </a:prstGeom>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val="en-US" w:eastAsia="zh-CN"/>
        </w:rPr>
        <w:t>路基工程区</w:t>
      </w:r>
      <w:r>
        <w:rPr>
          <w:rFonts w:hint="eastAsia"/>
          <w:color w:val="auto"/>
          <w:sz w:val="24"/>
          <w:szCs w:val="24"/>
          <w:lang w:eastAsia="zh-CN"/>
        </w:rPr>
        <w:t>恢复效果</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eastAsia="zh-CN"/>
        </w:rPr>
        <w:drawing>
          <wp:inline distT="0" distB="0" distL="114300" distR="114300">
            <wp:extent cx="5529580" cy="4147185"/>
            <wp:effectExtent l="0" t="0" r="13970" b="5715"/>
            <wp:docPr id="28" name="图片 28" descr="D:\项目（未完成）\225普安县G320江西坡至三板桥道路工程-谢豪\照片2020.07.13-2020.07.14\手机\G320\IMG_20200714_093947.jpgIMG_20200714_09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项目（未完成）\225普安县G320江西坡至三板桥道路工程-谢豪\照片2020.07.13-2020.07.14\手机\G320\IMG_20200714_093947.jpgIMG_20200714_093947"/>
                    <pic:cNvPicPr>
                      <a:picLocks noChangeAspect="1"/>
                    </pic:cNvPicPr>
                  </pic:nvPicPr>
                  <pic:blipFill>
                    <a:blip r:embed="rId44"/>
                    <a:srcRect/>
                    <a:stretch>
                      <a:fillRect/>
                    </a:stretch>
                  </pic:blipFill>
                  <pic:spPr>
                    <a:xfrm>
                      <a:off x="0" y="0"/>
                      <a:ext cx="5529580" cy="4147185"/>
                    </a:xfrm>
                    <a:prstGeom prst="rect">
                      <a:avLst/>
                    </a:prstGeom>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val="en-US" w:eastAsia="zh-CN"/>
        </w:rPr>
        <w:t>路基工程区</w:t>
      </w:r>
      <w:r>
        <w:rPr>
          <w:rFonts w:hint="eastAsia"/>
          <w:color w:val="auto"/>
          <w:sz w:val="24"/>
          <w:szCs w:val="24"/>
          <w:lang w:eastAsia="zh-CN"/>
        </w:rPr>
        <w:t>恢复效果</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eastAsia="zh-CN"/>
        </w:rPr>
        <w:drawing>
          <wp:inline distT="0" distB="0" distL="114300" distR="114300">
            <wp:extent cx="5558790" cy="4169410"/>
            <wp:effectExtent l="0" t="0" r="3810" b="2540"/>
            <wp:docPr id="33" name="图片 33" descr="IMG_20200714_09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0200714_090939"/>
                    <pic:cNvPicPr>
                      <a:picLocks noChangeAspect="1"/>
                    </pic:cNvPicPr>
                  </pic:nvPicPr>
                  <pic:blipFill>
                    <a:blip r:embed="rId45"/>
                    <a:stretch>
                      <a:fillRect/>
                    </a:stretch>
                  </pic:blipFill>
                  <pic:spPr>
                    <a:xfrm>
                      <a:off x="0" y="0"/>
                      <a:ext cx="5558790" cy="4169410"/>
                    </a:xfrm>
                    <a:prstGeom prst="rect">
                      <a:avLst/>
                    </a:prstGeom>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val="en-US" w:eastAsia="zh-CN"/>
        </w:rPr>
        <w:t>路基工程区</w:t>
      </w:r>
      <w:r>
        <w:rPr>
          <w:rFonts w:hint="eastAsia"/>
          <w:color w:val="auto"/>
          <w:sz w:val="24"/>
          <w:szCs w:val="24"/>
          <w:lang w:eastAsia="zh-CN"/>
        </w:rPr>
        <w:t>恢复效果</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eastAsia="zh-CN"/>
        </w:rPr>
        <w:drawing>
          <wp:inline distT="0" distB="0" distL="114300" distR="114300">
            <wp:extent cx="5558790" cy="4169410"/>
            <wp:effectExtent l="0" t="0" r="3810" b="2540"/>
            <wp:docPr id="34" name="图片 34" descr="IMG_20200714_10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0200714_101238"/>
                    <pic:cNvPicPr>
                      <a:picLocks noChangeAspect="1"/>
                    </pic:cNvPicPr>
                  </pic:nvPicPr>
                  <pic:blipFill>
                    <a:blip r:embed="rId46"/>
                    <a:stretch>
                      <a:fillRect/>
                    </a:stretch>
                  </pic:blipFill>
                  <pic:spPr>
                    <a:xfrm>
                      <a:off x="0" y="0"/>
                      <a:ext cx="5558790" cy="4169410"/>
                    </a:xfrm>
                    <a:prstGeom prst="rect">
                      <a:avLst/>
                    </a:prstGeom>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val="en-US" w:eastAsia="zh-CN"/>
        </w:rPr>
        <w:t>路基工程区</w:t>
      </w:r>
      <w:r>
        <w:rPr>
          <w:rFonts w:hint="eastAsia"/>
          <w:color w:val="auto"/>
          <w:sz w:val="24"/>
          <w:szCs w:val="24"/>
          <w:lang w:eastAsia="zh-CN"/>
        </w:rPr>
        <w:t>恢复效果</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eastAsia="zh-CN"/>
        </w:rPr>
        <w:drawing>
          <wp:inline distT="0" distB="0" distL="114300" distR="114300">
            <wp:extent cx="5558790" cy="3752215"/>
            <wp:effectExtent l="0" t="0" r="3810" b="635"/>
            <wp:docPr id="35" name="图片 35" descr="IMG_20200714_09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0200714_094242"/>
                    <pic:cNvPicPr>
                      <a:picLocks noChangeAspect="1"/>
                    </pic:cNvPicPr>
                  </pic:nvPicPr>
                  <pic:blipFill>
                    <a:blip r:embed="rId47"/>
                    <a:stretch>
                      <a:fillRect/>
                    </a:stretch>
                  </pic:blipFill>
                  <pic:spPr>
                    <a:xfrm>
                      <a:off x="0" y="0"/>
                      <a:ext cx="5558790" cy="3752215"/>
                    </a:xfrm>
                    <a:prstGeom prst="rect">
                      <a:avLst/>
                    </a:prstGeom>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val="en-US" w:eastAsia="zh-CN"/>
        </w:rPr>
        <w:t>桥梁工程区</w:t>
      </w:r>
      <w:r>
        <w:rPr>
          <w:rFonts w:hint="eastAsia"/>
          <w:color w:val="auto"/>
          <w:sz w:val="24"/>
          <w:szCs w:val="24"/>
          <w:lang w:eastAsia="zh-CN"/>
        </w:rPr>
        <w:t>恢复效果</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eastAsia="zh-CN"/>
        </w:rPr>
        <w:drawing>
          <wp:inline distT="0" distB="0" distL="114300" distR="114300">
            <wp:extent cx="5558790" cy="4169410"/>
            <wp:effectExtent l="0" t="0" r="3810" b="2540"/>
            <wp:docPr id="36" name="图片 36" descr="IMG_20200714_09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0200714_091839"/>
                    <pic:cNvPicPr>
                      <a:picLocks noChangeAspect="1"/>
                    </pic:cNvPicPr>
                  </pic:nvPicPr>
                  <pic:blipFill>
                    <a:blip r:embed="rId48"/>
                    <a:stretch>
                      <a:fillRect/>
                    </a:stretch>
                  </pic:blipFill>
                  <pic:spPr>
                    <a:xfrm>
                      <a:off x="0" y="0"/>
                      <a:ext cx="5558790" cy="4169410"/>
                    </a:xfrm>
                    <a:prstGeom prst="rect">
                      <a:avLst/>
                    </a:prstGeom>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val="en-US" w:eastAsia="zh-CN"/>
        </w:rPr>
        <w:t>路基工程区</w:t>
      </w:r>
      <w:r>
        <w:rPr>
          <w:rFonts w:hint="eastAsia"/>
          <w:color w:val="auto"/>
          <w:sz w:val="24"/>
          <w:szCs w:val="24"/>
          <w:lang w:eastAsia="zh-CN"/>
        </w:rPr>
        <w:t>恢复效果</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eastAsia="zh-CN"/>
        </w:rPr>
        <w:drawing>
          <wp:inline distT="0" distB="0" distL="114300" distR="114300">
            <wp:extent cx="5558790" cy="4169410"/>
            <wp:effectExtent l="0" t="0" r="3810" b="2540"/>
            <wp:docPr id="37" name="图片 37" descr="IMG_20200714_10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0200714_101847"/>
                    <pic:cNvPicPr>
                      <a:picLocks noChangeAspect="1"/>
                    </pic:cNvPicPr>
                  </pic:nvPicPr>
                  <pic:blipFill>
                    <a:blip r:embed="rId49"/>
                    <a:stretch>
                      <a:fillRect/>
                    </a:stretch>
                  </pic:blipFill>
                  <pic:spPr>
                    <a:xfrm>
                      <a:off x="0" y="0"/>
                      <a:ext cx="5558790" cy="4169410"/>
                    </a:xfrm>
                    <a:prstGeom prst="rect">
                      <a:avLst/>
                    </a:prstGeom>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val="en-US" w:eastAsia="zh-CN"/>
        </w:rPr>
        <w:t>路基工程区</w:t>
      </w:r>
      <w:r>
        <w:rPr>
          <w:rFonts w:hint="eastAsia"/>
          <w:color w:val="auto"/>
          <w:sz w:val="24"/>
          <w:szCs w:val="24"/>
          <w:lang w:eastAsia="zh-CN"/>
        </w:rPr>
        <w:t>恢复效果</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eastAsia="zh-CN"/>
        </w:rPr>
        <w:drawing>
          <wp:inline distT="0" distB="0" distL="114300" distR="114300">
            <wp:extent cx="5558790" cy="4169410"/>
            <wp:effectExtent l="0" t="0" r="3810" b="2540"/>
            <wp:docPr id="38" name="图片 38" descr="IMG_20200714_10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0200714_104756"/>
                    <pic:cNvPicPr>
                      <a:picLocks noChangeAspect="1"/>
                    </pic:cNvPicPr>
                  </pic:nvPicPr>
                  <pic:blipFill>
                    <a:blip r:embed="rId50"/>
                    <a:stretch>
                      <a:fillRect/>
                    </a:stretch>
                  </pic:blipFill>
                  <pic:spPr>
                    <a:xfrm>
                      <a:off x="0" y="0"/>
                      <a:ext cx="5558790" cy="4169410"/>
                    </a:xfrm>
                    <a:prstGeom prst="rect">
                      <a:avLst/>
                    </a:prstGeom>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val="en-US" w:eastAsia="zh-CN"/>
        </w:rPr>
        <w:t>路基工程区</w:t>
      </w:r>
      <w:r>
        <w:rPr>
          <w:rFonts w:hint="eastAsia"/>
          <w:color w:val="auto"/>
          <w:sz w:val="24"/>
          <w:szCs w:val="24"/>
          <w:lang w:eastAsia="zh-CN"/>
        </w:rPr>
        <w:t>恢复效果</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eastAsia="zh-CN"/>
        </w:rPr>
        <w:drawing>
          <wp:inline distT="0" distB="0" distL="114300" distR="114300">
            <wp:extent cx="5558790" cy="4169410"/>
            <wp:effectExtent l="0" t="0" r="3810" b="2540"/>
            <wp:docPr id="39" name="图片 39" descr="IMG_20200714_105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0200714_105818"/>
                    <pic:cNvPicPr>
                      <a:picLocks noChangeAspect="1"/>
                    </pic:cNvPicPr>
                  </pic:nvPicPr>
                  <pic:blipFill>
                    <a:blip r:embed="rId51"/>
                    <a:stretch>
                      <a:fillRect/>
                    </a:stretch>
                  </pic:blipFill>
                  <pic:spPr>
                    <a:xfrm>
                      <a:off x="0" y="0"/>
                      <a:ext cx="5558790" cy="4169410"/>
                    </a:xfrm>
                    <a:prstGeom prst="rect">
                      <a:avLst/>
                    </a:prstGeom>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val="en-US" w:eastAsia="zh-CN"/>
        </w:rPr>
        <w:t>路基工程区</w:t>
      </w:r>
      <w:r>
        <w:rPr>
          <w:rFonts w:hint="eastAsia"/>
          <w:color w:val="auto"/>
          <w:sz w:val="24"/>
          <w:szCs w:val="24"/>
          <w:lang w:eastAsia="zh-CN"/>
        </w:rPr>
        <w:t>恢复效果</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eastAsia="zh-CN"/>
        </w:rPr>
        <w:drawing>
          <wp:inline distT="0" distB="0" distL="114300" distR="114300">
            <wp:extent cx="5558790" cy="3126740"/>
            <wp:effectExtent l="0" t="0" r="3810" b="16510"/>
            <wp:docPr id="40" name="图片 40" descr="DJI_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JI_0778"/>
                    <pic:cNvPicPr>
                      <a:picLocks noChangeAspect="1"/>
                    </pic:cNvPicPr>
                  </pic:nvPicPr>
                  <pic:blipFill>
                    <a:blip r:embed="rId52"/>
                    <a:stretch>
                      <a:fillRect/>
                    </a:stretch>
                  </pic:blipFill>
                  <pic:spPr>
                    <a:xfrm>
                      <a:off x="0" y="0"/>
                      <a:ext cx="5558790" cy="3126740"/>
                    </a:xfrm>
                    <a:prstGeom prst="rect">
                      <a:avLst/>
                    </a:prstGeom>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val="en-US" w:eastAsia="zh-CN"/>
        </w:rPr>
        <w:t>路基工程区</w:t>
      </w:r>
      <w:r>
        <w:rPr>
          <w:rFonts w:hint="eastAsia"/>
          <w:color w:val="auto"/>
          <w:sz w:val="24"/>
          <w:szCs w:val="24"/>
          <w:lang w:eastAsia="zh-CN"/>
        </w:rPr>
        <w:t>恢复效果</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eastAsia="zh-CN"/>
        </w:rPr>
        <w:drawing>
          <wp:inline distT="0" distB="0" distL="114300" distR="114300">
            <wp:extent cx="5558790" cy="3126740"/>
            <wp:effectExtent l="0" t="0" r="3810" b="16510"/>
            <wp:docPr id="41" name="图片 41" descr="DJI_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JI_0820"/>
                    <pic:cNvPicPr>
                      <a:picLocks noChangeAspect="1"/>
                    </pic:cNvPicPr>
                  </pic:nvPicPr>
                  <pic:blipFill>
                    <a:blip r:embed="rId53"/>
                    <a:stretch>
                      <a:fillRect/>
                    </a:stretch>
                  </pic:blipFill>
                  <pic:spPr>
                    <a:xfrm>
                      <a:off x="0" y="0"/>
                      <a:ext cx="5558790" cy="3126740"/>
                    </a:xfrm>
                    <a:prstGeom prst="rect">
                      <a:avLst/>
                    </a:prstGeom>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val="en-US" w:eastAsia="zh-CN"/>
        </w:rPr>
        <w:t>路基工程区</w:t>
      </w:r>
      <w:r>
        <w:rPr>
          <w:rFonts w:hint="eastAsia"/>
          <w:color w:val="auto"/>
          <w:sz w:val="24"/>
          <w:szCs w:val="24"/>
          <w:lang w:eastAsia="zh-CN"/>
        </w:rPr>
        <w:t>恢复效果</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eastAsia="zh-CN"/>
        </w:rPr>
        <w:drawing>
          <wp:inline distT="0" distB="0" distL="114300" distR="114300">
            <wp:extent cx="5558790" cy="3126740"/>
            <wp:effectExtent l="0" t="0" r="3810" b="16510"/>
            <wp:docPr id="42" name="图片 42" descr="DJI_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JI_0817"/>
                    <pic:cNvPicPr>
                      <a:picLocks noChangeAspect="1"/>
                    </pic:cNvPicPr>
                  </pic:nvPicPr>
                  <pic:blipFill>
                    <a:blip r:embed="rId54"/>
                    <a:stretch>
                      <a:fillRect/>
                    </a:stretch>
                  </pic:blipFill>
                  <pic:spPr>
                    <a:xfrm>
                      <a:off x="0" y="0"/>
                      <a:ext cx="5558790" cy="3126740"/>
                    </a:xfrm>
                    <a:prstGeom prst="rect">
                      <a:avLst/>
                    </a:prstGeom>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val="en-US" w:eastAsia="zh-CN"/>
        </w:rPr>
        <w:t>路基工程区</w:t>
      </w:r>
      <w:r>
        <w:rPr>
          <w:rFonts w:hint="eastAsia"/>
          <w:color w:val="auto"/>
          <w:sz w:val="24"/>
          <w:szCs w:val="24"/>
          <w:lang w:eastAsia="zh-CN"/>
        </w:rPr>
        <w:t>恢复效果</w:t>
      </w:r>
      <w:r>
        <w:rPr>
          <w:rFonts w:hint="eastAsia"/>
          <w:color w:val="auto"/>
          <w:sz w:val="24"/>
          <w:szCs w:val="24"/>
          <w:lang w:eastAsia="zh-CN"/>
        </w:rPr>
        <w:drawing>
          <wp:inline distT="0" distB="0" distL="114300" distR="114300">
            <wp:extent cx="5558790" cy="3126740"/>
            <wp:effectExtent l="0" t="0" r="3810" b="16510"/>
            <wp:docPr id="43" name="图片 43" descr="DJI_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JI_0810"/>
                    <pic:cNvPicPr>
                      <a:picLocks noChangeAspect="1"/>
                    </pic:cNvPicPr>
                  </pic:nvPicPr>
                  <pic:blipFill>
                    <a:blip r:embed="rId55"/>
                    <a:stretch>
                      <a:fillRect/>
                    </a:stretch>
                  </pic:blipFill>
                  <pic:spPr>
                    <a:xfrm>
                      <a:off x="0" y="0"/>
                      <a:ext cx="5558790" cy="3126740"/>
                    </a:xfrm>
                    <a:prstGeom prst="rect">
                      <a:avLst/>
                    </a:prstGeom>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val="en-US" w:eastAsia="zh-CN"/>
        </w:rPr>
        <w:t>路基工程区</w:t>
      </w:r>
      <w:r>
        <w:rPr>
          <w:rFonts w:hint="eastAsia"/>
          <w:color w:val="auto"/>
          <w:sz w:val="24"/>
          <w:szCs w:val="24"/>
          <w:lang w:eastAsia="zh-CN"/>
        </w:rPr>
        <w:t>恢复效果</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eastAsia="zh-CN"/>
        </w:rPr>
        <w:drawing>
          <wp:inline distT="0" distB="0" distL="114300" distR="114300">
            <wp:extent cx="5558790" cy="3126740"/>
            <wp:effectExtent l="0" t="0" r="3810" b="16510"/>
            <wp:docPr id="44" name="图片 44" descr="DJI_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JI_0811"/>
                    <pic:cNvPicPr>
                      <a:picLocks noChangeAspect="1"/>
                    </pic:cNvPicPr>
                  </pic:nvPicPr>
                  <pic:blipFill>
                    <a:blip r:embed="rId56"/>
                    <a:stretch>
                      <a:fillRect/>
                    </a:stretch>
                  </pic:blipFill>
                  <pic:spPr>
                    <a:xfrm>
                      <a:off x="0" y="0"/>
                      <a:ext cx="5558790" cy="3126740"/>
                    </a:xfrm>
                    <a:prstGeom prst="rect">
                      <a:avLst/>
                    </a:prstGeom>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val="en-US" w:eastAsia="zh-CN"/>
        </w:rPr>
        <w:t>路基工程区</w:t>
      </w:r>
      <w:r>
        <w:rPr>
          <w:rFonts w:hint="eastAsia"/>
          <w:color w:val="auto"/>
          <w:sz w:val="24"/>
          <w:szCs w:val="24"/>
          <w:lang w:eastAsia="zh-CN"/>
        </w:rPr>
        <w:t>恢复效果</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eastAsia="zh-CN"/>
        </w:rPr>
        <w:drawing>
          <wp:inline distT="0" distB="0" distL="114300" distR="114300">
            <wp:extent cx="5558790" cy="3126740"/>
            <wp:effectExtent l="0" t="0" r="3810" b="16510"/>
            <wp:docPr id="45" name="图片 45" descr="DJI_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JI_0856"/>
                    <pic:cNvPicPr>
                      <a:picLocks noChangeAspect="1"/>
                    </pic:cNvPicPr>
                  </pic:nvPicPr>
                  <pic:blipFill>
                    <a:blip r:embed="rId57"/>
                    <a:stretch>
                      <a:fillRect/>
                    </a:stretch>
                  </pic:blipFill>
                  <pic:spPr>
                    <a:xfrm>
                      <a:off x="0" y="0"/>
                      <a:ext cx="5558790" cy="3126740"/>
                    </a:xfrm>
                    <a:prstGeom prst="rect">
                      <a:avLst/>
                    </a:prstGeom>
                  </pic:spPr>
                </pic:pic>
              </a:graphicData>
            </a:graphic>
          </wp:inline>
        </w:drawing>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r>
        <w:rPr>
          <w:rFonts w:hint="eastAsia"/>
          <w:color w:val="auto"/>
          <w:sz w:val="24"/>
          <w:szCs w:val="24"/>
          <w:lang w:val="en-US" w:eastAsia="zh-CN"/>
        </w:rPr>
        <w:t>路基工程区</w:t>
      </w:r>
      <w:r>
        <w:rPr>
          <w:rFonts w:hint="eastAsia"/>
          <w:color w:val="auto"/>
          <w:sz w:val="24"/>
          <w:szCs w:val="24"/>
          <w:lang w:eastAsia="zh-CN"/>
        </w:rPr>
        <w:t>恢复效果</w:t>
      </w: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0" w:firstLineChars="0"/>
        <w:jc w:val="center"/>
        <w:textAlignment w:val="auto"/>
        <w:outlineLvl w:val="9"/>
        <w:rPr>
          <w:rFonts w:hint="eastAsia"/>
          <w:color w:val="auto"/>
          <w:sz w:val="24"/>
          <w:szCs w:val="24"/>
          <w:lang w:eastAsia="zh-CN"/>
        </w:rPr>
      </w:pPr>
    </w:p>
    <w:tbl>
      <w:tblPr>
        <w:tblStyle w:val="1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top"/>
          </w:tcPr>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rPr>
                <w:rFonts w:hint="default"/>
                <w:color w:val="auto"/>
                <w:lang w:val="en-US" w:eastAsia="zh-CN"/>
              </w:rPr>
            </w:pPr>
            <w:r>
              <w:rPr>
                <w:rFonts w:hint="default"/>
                <w:color w:val="auto"/>
                <w:lang w:val="en-US" w:eastAsia="zh-CN"/>
              </w:rPr>
              <w:drawing>
                <wp:inline distT="0" distB="0" distL="114300" distR="114300">
                  <wp:extent cx="2535555" cy="1901190"/>
                  <wp:effectExtent l="0" t="0" r="17145" b="3810"/>
                  <wp:docPr id="126" name="图片 45" descr="D:\项目（未完成）\225普安县G320江西坡至三板桥道路工程-谢豪\g320，11.5\11.20\IMG_0712.JPGIMG_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5" descr="D:\项目（未完成）\225普安县G320江西坡至三板桥道路工程-谢豪\g320，11.5\11.20\IMG_0712.JPGIMG_0712"/>
                          <pic:cNvPicPr>
                            <a:picLocks noChangeAspect="1"/>
                          </pic:cNvPicPr>
                        </pic:nvPicPr>
                        <pic:blipFill>
                          <a:blip r:embed="rId58"/>
                          <a:srcRect/>
                          <a:stretch>
                            <a:fillRect/>
                          </a:stretch>
                        </pic:blipFill>
                        <pic:spPr>
                          <a:xfrm>
                            <a:off x="0" y="0"/>
                            <a:ext cx="2535555" cy="1901190"/>
                          </a:xfrm>
                          <a:prstGeom prst="rect">
                            <a:avLst/>
                          </a:prstGeom>
                          <a:noFill/>
                          <a:ln>
                            <a:noFill/>
                          </a:ln>
                        </pic:spPr>
                      </pic:pic>
                    </a:graphicData>
                  </a:graphic>
                </wp:inline>
              </w:drawing>
            </w:r>
          </w:p>
        </w:tc>
        <w:tc>
          <w:tcPr>
            <w:tcW w:w="4261" w:type="dxa"/>
            <w:vAlign w:val="top"/>
          </w:tcPr>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rPr>
                <w:rFonts w:hint="default"/>
                <w:color w:val="auto"/>
                <w:lang w:val="en-US" w:eastAsia="zh-CN"/>
              </w:rPr>
            </w:pPr>
            <w:r>
              <w:rPr>
                <w:color w:val="auto"/>
              </w:rPr>
              <w:drawing>
                <wp:inline distT="0" distB="0" distL="114300" distR="114300">
                  <wp:extent cx="2553335" cy="1914525"/>
                  <wp:effectExtent l="0" t="0" r="18415" b="9525"/>
                  <wp:docPr id="127" name="图片 46" descr="D:\项目（未完成）\225普安县G320江西坡至三板桥道路工程-谢豪\g320，11.5\最新\IMG_3886.JPGIMG_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46" descr="D:\项目（未完成）\225普安县G320江西坡至三板桥道路工程-谢豪\g320，11.5\最新\IMG_3886.JPGIMG_3886"/>
                          <pic:cNvPicPr>
                            <a:picLocks noChangeAspect="1"/>
                          </pic:cNvPicPr>
                        </pic:nvPicPr>
                        <pic:blipFill>
                          <a:blip r:embed="rId59"/>
                          <a:srcRect/>
                          <a:stretch>
                            <a:fillRect/>
                          </a:stretch>
                        </pic:blipFill>
                        <pic:spPr>
                          <a:xfrm>
                            <a:off x="0" y="0"/>
                            <a:ext cx="2553335" cy="1914525"/>
                          </a:xfrm>
                          <a:prstGeom prst="rect">
                            <a:avLst/>
                          </a:prstGeom>
                          <a:noFill/>
                          <a:ln>
                            <a:noFill/>
                          </a:ln>
                        </pic:spPr>
                      </pic:pic>
                    </a:graphicData>
                  </a:graphic>
                </wp:inline>
              </w:drawing>
            </w:r>
            <w:r>
              <w:rPr>
                <w:color w:val="auto"/>
              </w:rPr>
              <mc:AlternateContent>
                <mc:Choice Requires="wps">
                  <w:drawing>
                    <wp:anchor distT="0" distB="0" distL="114300" distR="114300" simplePos="0" relativeHeight="251669504" behindDoc="0" locked="0" layoutInCell="1" allowOverlap="1">
                      <wp:simplePos x="0" y="0"/>
                      <wp:positionH relativeFrom="column">
                        <wp:posOffset>-250190</wp:posOffset>
                      </wp:positionH>
                      <wp:positionV relativeFrom="paragraph">
                        <wp:posOffset>860425</wp:posOffset>
                      </wp:positionV>
                      <wp:extent cx="431800" cy="344805"/>
                      <wp:effectExtent l="6350" t="15240" r="19050" b="20955"/>
                      <wp:wrapNone/>
                      <wp:docPr id="12" name="右箭头 12"/>
                      <wp:cNvGraphicFramePr/>
                      <a:graphic xmlns:a="http://schemas.openxmlformats.org/drawingml/2006/main">
                        <a:graphicData uri="http://schemas.microsoft.com/office/word/2010/wordprocessingShape">
                          <wps:wsp>
                            <wps:cNvSpPr/>
                            <wps:spPr>
                              <a:xfrm>
                                <a:off x="3333750" y="8145145"/>
                                <a:ext cx="431800" cy="344805"/>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9.7pt;margin-top:67.75pt;height:27.15pt;width:34pt;z-index:251669504;v-text-anchor:middle;mso-width-relative:page;mso-height-relative:page;" fillcolor="#FF0000" filled="t" stroked="t" coordsize="21600,21600" o:gfxdata="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bc7eb2QAAAAoBAAAPAAAAAAAAAAEAIAAAACIAAABkcnMvZG93bnJldi54&#10;bWxQSwECFAAUAAAACACHTuJA5fIEnmsCAADKBAAADgAAAAAAAAABACAAAAAoAQAAZHJzL2Uyb0Rv&#10;Yy54bWxQSwUGAAAAAAYABgBZAQAABQYAAAAA&#10;" adj="12976,5400">
                      <v:fill on="t" focussize="0,0"/>
                      <v:stroke weight="1pt" color="#FF0000" miterlimit="8" joinstyle="miter"/>
                      <v:imagedata o:title=""/>
                      <o:lock v:ext="edit" aspectratio="f"/>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vAlign w:val="top"/>
          </w:tcPr>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rPr>
                <w:rFonts w:hint="default"/>
                <w:color w:val="auto"/>
                <w:lang w:val="en-US" w:eastAsia="zh-CN"/>
              </w:rPr>
            </w:pPr>
            <w:r>
              <w:rPr>
                <w:rFonts w:hint="eastAsia"/>
                <w:color w:val="auto"/>
                <w:lang w:val="en-US" w:eastAsia="zh-CN"/>
              </w:rPr>
              <w:t>取料场恢复前后对照图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top"/>
          </w:tcPr>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rPr>
                <w:rFonts w:hint="default"/>
                <w:color w:val="auto"/>
                <w:lang w:val="en-US" w:eastAsia="zh-CN"/>
              </w:rPr>
            </w:pPr>
            <w:r>
              <w:rPr>
                <w:color w:val="auto"/>
              </w:rPr>
              <mc:AlternateContent>
                <mc:Choice Requires="wps">
                  <w:drawing>
                    <wp:anchor distT="0" distB="0" distL="114300" distR="114300" simplePos="0" relativeHeight="251671552" behindDoc="0" locked="0" layoutInCell="1" allowOverlap="1">
                      <wp:simplePos x="0" y="0"/>
                      <wp:positionH relativeFrom="column">
                        <wp:posOffset>2488565</wp:posOffset>
                      </wp:positionH>
                      <wp:positionV relativeFrom="paragraph">
                        <wp:posOffset>852170</wp:posOffset>
                      </wp:positionV>
                      <wp:extent cx="431800" cy="344805"/>
                      <wp:effectExtent l="6350" t="15240" r="19050" b="20955"/>
                      <wp:wrapNone/>
                      <wp:docPr id="128" name="右箭头 128"/>
                      <wp:cNvGraphicFramePr/>
                      <a:graphic xmlns:a="http://schemas.openxmlformats.org/drawingml/2006/main">
                        <a:graphicData uri="http://schemas.microsoft.com/office/word/2010/wordprocessingShape">
                          <wps:wsp>
                            <wps:cNvSpPr/>
                            <wps:spPr>
                              <a:xfrm>
                                <a:off x="3333750" y="8145145"/>
                                <a:ext cx="431800" cy="344805"/>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95.95pt;margin-top:67.1pt;height:27.15pt;width:34pt;z-index:251671552;v-text-anchor:middle;mso-width-relative:page;mso-height-relative:page;" fillcolor="#FF0000" filled="t" stroked="t" coordsize="21600,21600" o:gfxdata="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0NZxW2QAAAAsBAAAPAAAAAAAAAAEAIAAAACIAAABkcnMvZG93bnJldi54&#10;bWxQSwECFAAUAAAACACHTuJAD7stgmsCAADMBAAADgAAAAAAAAABACAAAAAoAQAAZHJzL2Uyb0Rv&#10;Yy54bWxQSwUGAAAAAAYABgBZAQAABQYAAAAA&#10;" adj="12976,5400">
                      <v:fill on="t" focussize="0,0"/>
                      <v:stroke weight="1pt" color="#FF0000" miterlimit="8" joinstyle="miter"/>
                      <v:imagedata o:title=""/>
                      <o:lock v:ext="edit" aspectratio="f"/>
                    </v:shape>
                  </w:pict>
                </mc:Fallback>
              </mc:AlternateContent>
            </w:r>
            <w:r>
              <w:rPr>
                <w:rFonts w:hint="default"/>
                <w:color w:val="auto"/>
                <w:lang w:val="en-US" w:eastAsia="zh-CN"/>
              </w:rPr>
              <w:drawing>
                <wp:inline distT="0" distB="0" distL="114300" distR="114300">
                  <wp:extent cx="2534920" cy="1901190"/>
                  <wp:effectExtent l="0" t="0" r="17780" b="3810"/>
                  <wp:docPr id="129" name="图片 47" descr="D:\项目（未完成）\225普安县G320江西坡至三板桥道路工程-谢豪\g320，11.5\11.20\IMG_0706.JPGIMG_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47" descr="D:\项目（未完成）\225普安县G320江西坡至三板桥道路工程-谢豪\g320，11.5\11.20\IMG_0706.JPGIMG_0706"/>
                          <pic:cNvPicPr>
                            <a:picLocks noChangeAspect="1"/>
                          </pic:cNvPicPr>
                        </pic:nvPicPr>
                        <pic:blipFill>
                          <a:blip r:embed="rId60"/>
                          <a:srcRect/>
                          <a:stretch>
                            <a:fillRect/>
                          </a:stretch>
                        </pic:blipFill>
                        <pic:spPr>
                          <a:xfrm>
                            <a:off x="0" y="0"/>
                            <a:ext cx="2534920" cy="1901190"/>
                          </a:xfrm>
                          <a:prstGeom prst="rect">
                            <a:avLst/>
                          </a:prstGeom>
                          <a:noFill/>
                          <a:ln>
                            <a:noFill/>
                          </a:ln>
                        </pic:spPr>
                      </pic:pic>
                    </a:graphicData>
                  </a:graphic>
                </wp:inline>
              </w:drawing>
            </w:r>
          </w:p>
        </w:tc>
        <w:tc>
          <w:tcPr>
            <w:tcW w:w="4261" w:type="dxa"/>
            <w:vAlign w:val="top"/>
          </w:tcPr>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rPr>
                <w:rFonts w:hint="default"/>
                <w:color w:val="auto"/>
                <w:lang w:val="en-US" w:eastAsia="zh-CN"/>
              </w:rPr>
            </w:pPr>
            <w:r>
              <w:rPr>
                <w:rFonts w:hint="default"/>
                <w:color w:val="auto"/>
                <w:lang w:val="en-US" w:eastAsia="zh-CN"/>
              </w:rPr>
              <w:drawing>
                <wp:inline distT="0" distB="0" distL="114300" distR="114300">
                  <wp:extent cx="2515870" cy="1886585"/>
                  <wp:effectExtent l="0" t="0" r="17780" b="18415"/>
                  <wp:docPr id="130" name="图片 48" descr="D:\项目（未完成）\225普安县G320江西坡至三板桥道路工程-谢豪\照片2020.07.13-2020.07.14\手机\G320\IMG_20200714_084239.jpgIMG_20200714_08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48" descr="D:\项目（未完成）\225普安县G320江西坡至三板桥道路工程-谢豪\照片2020.07.13-2020.07.14\手机\G320\IMG_20200714_084239.jpgIMG_20200714_084239"/>
                          <pic:cNvPicPr>
                            <a:picLocks noChangeAspect="1"/>
                          </pic:cNvPicPr>
                        </pic:nvPicPr>
                        <pic:blipFill>
                          <a:blip r:embed="rId61"/>
                          <a:srcRect/>
                          <a:stretch>
                            <a:fillRect/>
                          </a:stretch>
                        </pic:blipFill>
                        <pic:spPr>
                          <a:xfrm>
                            <a:off x="0" y="0"/>
                            <a:ext cx="2515870" cy="18865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vAlign w:val="top"/>
          </w:tcPr>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rPr>
                <w:rFonts w:hint="default"/>
                <w:color w:val="auto"/>
                <w:lang w:val="en-US" w:eastAsia="zh-CN"/>
              </w:rPr>
            </w:pPr>
            <w:r>
              <w:rPr>
                <w:rFonts w:hint="eastAsia"/>
                <w:color w:val="auto"/>
                <w:lang w:val="en-US" w:eastAsia="zh-CN"/>
              </w:rPr>
              <w:t>取料场恢复前后对照图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rPr>
                <w:rFonts w:hint="default"/>
                <w:color w:val="auto"/>
                <w:lang w:val="en-US" w:eastAsia="zh-CN"/>
              </w:rPr>
            </w:pPr>
            <w:r>
              <w:rPr>
                <w:color w:val="auto"/>
              </w:rPr>
              <mc:AlternateContent>
                <mc:Choice Requires="wps">
                  <w:drawing>
                    <wp:anchor distT="0" distB="0" distL="114300" distR="114300" simplePos="0" relativeHeight="251673600" behindDoc="0" locked="0" layoutInCell="1" allowOverlap="1">
                      <wp:simplePos x="0" y="0"/>
                      <wp:positionH relativeFrom="column">
                        <wp:posOffset>2421255</wp:posOffset>
                      </wp:positionH>
                      <wp:positionV relativeFrom="paragraph">
                        <wp:posOffset>810895</wp:posOffset>
                      </wp:positionV>
                      <wp:extent cx="431800" cy="344805"/>
                      <wp:effectExtent l="6350" t="15240" r="19050" b="20955"/>
                      <wp:wrapNone/>
                      <wp:docPr id="131" name="右箭头 131"/>
                      <wp:cNvGraphicFramePr/>
                      <a:graphic xmlns:a="http://schemas.openxmlformats.org/drawingml/2006/main">
                        <a:graphicData uri="http://schemas.microsoft.com/office/word/2010/wordprocessingShape">
                          <wps:wsp>
                            <wps:cNvSpPr/>
                            <wps:spPr>
                              <a:xfrm>
                                <a:off x="3333750" y="8145145"/>
                                <a:ext cx="431800" cy="344805"/>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90.65pt;margin-top:63.85pt;height:27.15pt;width:34pt;z-index:251673600;v-text-anchor:middle;mso-width-relative:page;mso-height-relative:page;" fillcolor="#FF0000" filled="t" stroked="t" coordsize="21600,21600" o:gfxdata="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pKjpatkAAAALAQAADwAAAAAAAAABACAAAAAiAAAAZHJzL2Rvd25yZXYu&#10;eG1sUEsBAhQAFAAAAAgAh07iQBR/5qVsAgAAzAQAAA4AAAAAAAAAAQAgAAAAKAEAAGRycy9lMm9E&#10;b2MueG1sUEsFBgAAAAAGAAYAWQEAAAYGAAAAAA==&#10;" adj="12976,5400">
                      <v:fill on="t" focussize="0,0"/>
                      <v:stroke weight="1pt" color="#FF0000" miterlimit="8" joinstyle="miter"/>
                      <v:imagedata o:title=""/>
                      <o:lock v:ext="edit" aspectratio="f"/>
                    </v:shape>
                  </w:pict>
                </mc:Fallback>
              </mc:AlternateContent>
            </w:r>
            <w:r>
              <w:rPr>
                <w:rFonts w:hint="default"/>
                <w:color w:val="auto"/>
                <w:lang w:val="en-US" w:eastAsia="zh-CN"/>
              </w:rPr>
              <w:drawing>
                <wp:inline distT="0" distB="0" distL="114300" distR="114300">
                  <wp:extent cx="2534285" cy="1710055"/>
                  <wp:effectExtent l="0" t="0" r="18415" b="4445"/>
                  <wp:docPr id="132" name="图片 49" descr="D:\项目（未完成）\225普安县G320江西坡至三板桥道路工程-谢豪\照片2020.07.13-2020.07.14\手机\G320\IMG_20200714_091146.jpgIMG_20200714_09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49" descr="D:\项目（未完成）\225普安县G320江西坡至三板桥道路工程-谢豪\照片2020.07.13-2020.07.14\手机\G320\IMG_20200714_091146.jpgIMG_20200714_091146"/>
                          <pic:cNvPicPr>
                            <a:picLocks noChangeAspect="1"/>
                          </pic:cNvPicPr>
                        </pic:nvPicPr>
                        <pic:blipFill>
                          <a:blip r:embed="rId62"/>
                          <a:srcRect/>
                          <a:stretch>
                            <a:fillRect/>
                          </a:stretch>
                        </pic:blipFill>
                        <pic:spPr>
                          <a:xfrm>
                            <a:off x="0" y="0"/>
                            <a:ext cx="2534285" cy="1710055"/>
                          </a:xfrm>
                          <a:prstGeom prst="rect">
                            <a:avLst/>
                          </a:prstGeom>
                          <a:noFill/>
                          <a:ln>
                            <a:noFill/>
                          </a:ln>
                        </pic:spPr>
                      </pic:pic>
                    </a:graphicData>
                  </a:graphic>
                </wp:inline>
              </w:drawing>
            </w:r>
          </w:p>
        </w:tc>
        <w:tc>
          <w:tcPr>
            <w:tcW w:w="4261" w:type="dxa"/>
            <w:vAlign w:val="center"/>
          </w:tcPr>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rPr>
                <w:rFonts w:hint="default"/>
                <w:color w:val="auto"/>
                <w:lang w:val="en-US" w:eastAsia="zh-CN"/>
              </w:rPr>
            </w:pPr>
            <w:r>
              <w:rPr>
                <w:rFonts w:hint="default"/>
                <w:color w:val="auto"/>
                <w:lang w:val="en-US" w:eastAsia="zh-CN"/>
              </w:rPr>
              <w:drawing>
                <wp:inline distT="0" distB="0" distL="114300" distR="114300">
                  <wp:extent cx="2560320" cy="1920240"/>
                  <wp:effectExtent l="0" t="0" r="11430" b="3810"/>
                  <wp:docPr id="46" name="图片 46" descr="IMG_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3901"/>
                          <pic:cNvPicPr>
                            <a:picLocks noChangeAspect="1"/>
                          </pic:cNvPicPr>
                        </pic:nvPicPr>
                        <pic:blipFill>
                          <a:blip r:embed="rId63"/>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vAlign w:val="top"/>
          </w:tcPr>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rPr>
                <w:rFonts w:hint="default"/>
                <w:color w:val="auto"/>
                <w:lang w:val="en-US" w:eastAsia="zh-CN"/>
              </w:rPr>
            </w:pPr>
            <w:r>
              <w:rPr>
                <w:rFonts w:hint="eastAsia"/>
                <w:color w:val="auto"/>
                <w:lang w:val="en-US" w:eastAsia="zh-CN"/>
              </w:rPr>
              <w:t>拌合站恢复前后对照图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top"/>
          </w:tcPr>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rPr>
                <w:rFonts w:hint="default"/>
                <w:color w:val="auto"/>
                <w:lang w:val="en-US" w:eastAsia="zh-CN"/>
              </w:rPr>
            </w:pPr>
            <w:r>
              <w:rPr>
                <w:color w:val="auto"/>
              </w:rPr>
              <mc:AlternateContent>
                <mc:Choice Requires="wps">
                  <w:drawing>
                    <wp:anchor distT="0" distB="0" distL="114300" distR="114300" simplePos="0" relativeHeight="251676672" behindDoc="0" locked="0" layoutInCell="1" allowOverlap="1">
                      <wp:simplePos x="0" y="0"/>
                      <wp:positionH relativeFrom="column">
                        <wp:posOffset>2417445</wp:posOffset>
                      </wp:positionH>
                      <wp:positionV relativeFrom="paragraph">
                        <wp:posOffset>950595</wp:posOffset>
                      </wp:positionV>
                      <wp:extent cx="431800" cy="344805"/>
                      <wp:effectExtent l="6350" t="15240" r="19050" b="20955"/>
                      <wp:wrapNone/>
                      <wp:docPr id="134" name="右箭头 134"/>
                      <wp:cNvGraphicFramePr/>
                      <a:graphic xmlns:a="http://schemas.openxmlformats.org/drawingml/2006/main">
                        <a:graphicData uri="http://schemas.microsoft.com/office/word/2010/wordprocessingShape">
                          <wps:wsp>
                            <wps:cNvSpPr/>
                            <wps:spPr>
                              <a:xfrm>
                                <a:off x="3333750" y="8145145"/>
                                <a:ext cx="431800" cy="344805"/>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90.35pt;margin-top:74.85pt;height:27.15pt;width:34pt;z-index:251676672;v-text-anchor:middle;mso-width-relative:page;mso-height-relative:page;" fillcolor="#FF0000" filled="t" stroked="t" coordsize="21600,21600" o:gfxdata="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kBpIitkAAAALAQAADwAAAAAAAAABACAAAAAiAAAAZHJzL2Rvd25yZXYu&#10;eG1sUEsBAhQAFAAAAAgAh07iQGD9D0hsAgAAzAQAAA4AAAAAAAAAAQAgAAAAKAEAAGRycy9lMm9E&#10;b2MueG1sUEsFBgAAAAAGAAYAWQEAAAYGAAAAAA==&#10;" adj="12976,5400">
                      <v:fill on="t" focussize="0,0"/>
                      <v:stroke weight="1pt" color="#FF0000" miterlimit="8" joinstyle="miter"/>
                      <v:imagedata o:title=""/>
                      <o:lock v:ext="edit" aspectratio="f"/>
                    </v:shape>
                  </w:pict>
                </mc:Fallback>
              </mc:AlternateContent>
            </w:r>
            <w:r>
              <w:rPr>
                <w:rFonts w:hint="default"/>
                <w:color w:val="auto"/>
                <w:lang w:val="en-US" w:eastAsia="zh-CN"/>
              </w:rPr>
              <w:drawing>
                <wp:inline distT="0" distB="0" distL="114300" distR="114300">
                  <wp:extent cx="2536190" cy="1711325"/>
                  <wp:effectExtent l="0" t="0" r="16510" b="3175"/>
                  <wp:docPr id="135" name="图片 51" descr="D:\项目（未完成）\225普安县G320江西坡至三板桥道路工程-谢豪\照片2020.07.13-2020.07.14\手机\G320\IMG_20200714_091056.jpgIMG_20200714_09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51" descr="D:\项目（未完成）\225普安县G320江西坡至三板桥道路工程-谢豪\照片2020.07.13-2020.07.14\手机\G320\IMG_20200714_091056.jpgIMG_20200714_091056"/>
                          <pic:cNvPicPr>
                            <a:picLocks noChangeAspect="1"/>
                          </pic:cNvPicPr>
                        </pic:nvPicPr>
                        <pic:blipFill>
                          <a:blip r:embed="rId64"/>
                          <a:srcRect/>
                          <a:stretch>
                            <a:fillRect/>
                          </a:stretch>
                        </pic:blipFill>
                        <pic:spPr>
                          <a:xfrm>
                            <a:off x="0" y="0"/>
                            <a:ext cx="2536190" cy="1711325"/>
                          </a:xfrm>
                          <a:prstGeom prst="rect">
                            <a:avLst/>
                          </a:prstGeom>
                          <a:noFill/>
                          <a:ln>
                            <a:noFill/>
                          </a:ln>
                        </pic:spPr>
                      </pic:pic>
                    </a:graphicData>
                  </a:graphic>
                </wp:inline>
              </w:drawing>
            </w:r>
          </w:p>
        </w:tc>
        <w:tc>
          <w:tcPr>
            <w:tcW w:w="4261" w:type="dxa"/>
            <w:vAlign w:val="top"/>
          </w:tcPr>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rPr>
                <w:rFonts w:hint="default"/>
                <w:color w:val="auto"/>
                <w:lang w:val="en-US" w:eastAsia="zh-CN"/>
              </w:rPr>
            </w:pPr>
            <w:r>
              <w:rPr>
                <w:rFonts w:hint="default"/>
                <w:color w:val="auto"/>
                <w:lang w:val="en-US" w:eastAsia="zh-CN"/>
              </w:rPr>
              <w:drawing>
                <wp:inline distT="0" distB="0" distL="114300" distR="114300">
                  <wp:extent cx="2515870" cy="1886585"/>
                  <wp:effectExtent l="0" t="0" r="17780" b="18415"/>
                  <wp:docPr id="136" name="图片 52" descr="D:\项目（未完成）\225普安县G320江西坡至三板桥道路工程-谢豪\g320，11.5\最新\IMG_3900.JPGIMG_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52" descr="D:\项目（未完成）\225普安县G320江西坡至三板桥道路工程-谢豪\g320，11.5\最新\IMG_3900.JPGIMG_3900"/>
                          <pic:cNvPicPr>
                            <a:picLocks noChangeAspect="1"/>
                          </pic:cNvPicPr>
                        </pic:nvPicPr>
                        <pic:blipFill>
                          <a:blip r:embed="rId65"/>
                          <a:srcRect/>
                          <a:stretch>
                            <a:fillRect/>
                          </a:stretch>
                        </pic:blipFill>
                        <pic:spPr>
                          <a:xfrm>
                            <a:off x="0" y="0"/>
                            <a:ext cx="2515870" cy="18865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vAlign w:val="top"/>
          </w:tcPr>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center"/>
              <w:textAlignment w:val="auto"/>
              <w:rPr>
                <w:rFonts w:hint="default"/>
                <w:color w:val="auto"/>
                <w:lang w:val="en-US" w:eastAsia="zh-CN"/>
              </w:rPr>
            </w:pPr>
            <w:r>
              <w:rPr>
                <w:rFonts w:hint="eastAsia"/>
                <w:color w:val="auto"/>
                <w:lang w:val="en-US" w:eastAsia="zh-CN"/>
              </w:rPr>
              <w:t>拌合站恢复前后对照图</w:t>
            </w:r>
          </w:p>
        </w:tc>
      </w:tr>
    </w:tbl>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firstLine="0" w:firstLineChars="0"/>
        <w:jc w:val="both"/>
        <w:textAlignment w:val="auto"/>
        <w:outlineLvl w:val="9"/>
        <w:rPr>
          <w:rFonts w:hint="default"/>
          <w:color w:val="auto"/>
        </w:rPr>
        <w:sectPr>
          <w:headerReference r:id="rId12" w:type="default"/>
          <w:pgSz w:w="11906" w:h="16838"/>
          <w:pgMar w:top="1440" w:right="1418" w:bottom="1440" w:left="1701" w:header="851" w:footer="992" w:gutter="0"/>
          <w:pgBorders>
            <w:top w:val="none" w:sz="0" w:space="0"/>
            <w:left w:val="none" w:sz="0" w:space="0"/>
            <w:bottom w:val="none" w:sz="0" w:space="0"/>
            <w:right w:val="none" w:sz="0" w:space="0"/>
          </w:pgBorders>
          <w:pgNumType w:fmt="decimal"/>
          <w:cols w:space="720" w:num="1"/>
          <w:docGrid w:linePitch="326" w:charSpace="0"/>
        </w:sectPr>
      </w:pPr>
    </w:p>
    <w:p>
      <w:pPr>
        <w:pStyle w:val="2"/>
        <w:rPr>
          <w:rFonts w:hint="default"/>
          <w:color w:val="auto"/>
        </w:rPr>
      </w:pPr>
      <w:bookmarkStart w:id="137" w:name="_Toc23914"/>
      <w:r>
        <w:rPr>
          <w:rFonts w:hint="default"/>
          <w:color w:val="auto"/>
        </w:rPr>
        <w:t>5 土壤流失量分析</w:t>
      </w:r>
      <w:bookmarkEnd w:id="137"/>
    </w:p>
    <w:p>
      <w:pPr>
        <w:pStyle w:val="3"/>
        <w:rPr>
          <w:rFonts w:hint="default"/>
          <w:color w:val="auto"/>
        </w:rPr>
      </w:pPr>
      <w:bookmarkStart w:id="138" w:name="_Toc306196922"/>
      <w:bookmarkStart w:id="139" w:name="_Toc3853"/>
      <w:bookmarkStart w:id="140" w:name="_Toc433701520"/>
      <w:bookmarkStart w:id="141" w:name="_Toc430627100"/>
      <w:r>
        <w:rPr>
          <w:rFonts w:hint="default"/>
          <w:color w:val="auto"/>
        </w:rPr>
        <w:t>5.1</w:t>
      </w:r>
      <w:bookmarkEnd w:id="138"/>
      <w:r>
        <w:rPr>
          <w:rFonts w:hint="default"/>
          <w:color w:val="auto"/>
        </w:rPr>
        <w:t>水土流失面积</w:t>
      </w:r>
      <w:bookmarkEnd w:id="139"/>
      <w:bookmarkEnd w:id="140"/>
      <w:bookmarkEnd w:id="141"/>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_GB2312" w:cs="Times New Roman"/>
          <w:color w:val="auto"/>
          <w:spacing w:val="0"/>
          <w:sz w:val="24"/>
        </w:rPr>
      </w:pPr>
      <w:r>
        <w:rPr>
          <w:rFonts w:hint="eastAsia"/>
          <w:color w:val="auto"/>
          <w:lang w:eastAsia="zh-CN"/>
        </w:rPr>
        <w:t>根据本项目</w:t>
      </w:r>
      <w:r>
        <w:rPr>
          <w:rFonts w:hint="eastAsia"/>
          <w:color w:val="auto"/>
          <w:lang w:val="en-US" w:eastAsia="zh-CN"/>
        </w:rPr>
        <w:t>建设区扰动面积</w:t>
      </w:r>
      <w:r>
        <w:rPr>
          <w:rFonts w:hint="eastAsia"/>
          <w:color w:val="auto"/>
          <w:lang w:eastAsia="zh-CN"/>
        </w:rPr>
        <w:t>为</w:t>
      </w:r>
      <w:r>
        <w:rPr>
          <w:rFonts w:hint="eastAsia"/>
          <w:color w:val="auto"/>
          <w:lang w:val="en-US" w:eastAsia="zh-CN"/>
        </w:rPr>
        <w:t>64.15</w:t>
      </w:r>
      <w:r>
        <w:rPr>
          <w:rFonts w:hint="eastAsia"/>
          <w:color w:val="auto"/>
          <w:lang w:eastAsia="zh-CN"/>
        </w:rPr>
        <w:t>hm</w:t>
      </w:r>
      <w:r>
        <w:rPr>
          <w:rFonts w:hint="eastAsia"/>
          <w:color w:val="auto"/>
          <w:vertAlign w:val="superscript"/>
          <w:lang w:val="en-US" w:eastAsia="zh-CN"/>
        </w:rPr>
        <w:t>2</w:t>
      </w:r>
      <w:r>
        <w:rPr>
          <w:rFonts w:hint="eastAsia"/>
          <w:color w:val="auto"/>
          <w:lang w:eastAsia="zh-CN"/>
        </w:rPr>
        <w:t>，其中</w:t>
      </w:r>
      <w:r>
        <w:rPr>
          <w:rFonts w:hint="eastAsia"/>
          <w:color w:val="auto"/>
          <w:lang w:val="en-US" w:eastAsia="zh-CN"/>
        </w:rPr>
        <w:t>永久建筑面积为30.34</w:t>
      </w:r>
      <w:r>
        <w:rPr>
          <w:rFonts w:hint="eastAsia"/>
          <w:color w:val="auto"/>
          <w:lang w:eastAsia="zh-CN"/>
        </w:rPr>
        <w:t>hm</w:t>
      </w:r>
      <w:r>
        <w:rPr>
          <w:rFonts w:hint="eastAsia"/>
          <w:color w:val="auto"/>
          <w:vertAlign w:val="superscript"/>
          <w:lang w:val="en-US" w:eastAsia="zh-CN"/>
        </w:rPr>
        <w:t>2</w:t>
      </w:r>
      <w:r>
        <w:rPr>
          <w:rFonts w:hint="eastAsia"/>
          <w:color w:val="auto"/>
          <w:lang w:eastAsia="zh-CN"/>
        </w:rPr>
        <w:t>，</w:t>
      </w:r>
      <w:r>
        <w:rPr>
          <w:rFonts w:hint="eastAsia"/>
          <w:color w:val="auto"/>
          <w:lang w:val="en-US" w:eastAsia="zh-CN"/>
        </w:rPr>
        <w:t>水土流失面积为33.81</w:t>
      </w:r>
      <w:r>
        <w:rPr>
          <w:rFonts w:hint="eastAsia"/>
          <w:color w:val="auto"/>
          <w:lang w:eastAsia="zh-CN"/>
        </w:rPr>
        <w:t>hm</w:t>
      </w:r>
      <w:r>
        <w:rPr>
          <w:rFonts w:hint="eastAsia"/>
          <w:color w:val="auto"/>
          <w:vertAlign w:val="superscript"/>
          <w:lang w:val="en-US" w:eastAsia="zh-CN"/>
        </w:rPr>
        <w:t>2</w:t>
      </w:r>
      <w:r>
        <w:rPr>
          <w:rFonts w:hint="eastAsia"/>
          <w:color w:val="auto"/>
          <w:lang w:eastAsia="zh-CN"/>
        </w:rPr>
        <w:t>。</w:t>
      </w:r>
      <w:r>
        <w:rPr>
          <w:rFonts w:hint="default" w:ascii="Times New Roman" w:hAnsi="Times New Roman" w:eastAsia="仿宋_GB2312" w:cs="Times New Roman"/>
          <w:color w:val="auto"/>
          <w:spacing w:val="0"/>
          <w:sz w:val="24"/>
        </w:rPr>
        <w:t>详见表5-1。</w:t>
      </w:r>
    </w:p>
    <w:p>
      <w:pPr>
        <w:pStyle w:val="17"/>
        <w:rPr>
          <w:rFonts w:hint="eastAsia"/>
          <w:color w:val="auto"/>
          <w:lang w:eastAsia="zh-CN"/>
        </w:rPr>
      </w:pPr>
      <w:r>
        <w:rPr>
          <w:rFonts w:hint="default"/>
          <w:color w:val="auto"/>
        </w:rPr>
        <w:t>表5-1      项目建设区水土流失面积表    单位：h</w:t>
      </w:r>
      <w:r>
        <w:rPr>
          <w:rFonts w:hint="eastAsia"/>
          <w:color w:val="auto"/>
          <w:lang w:eastAsia="zh-CN"/>
        </w:rPr>
        <w:t>m</w:t>
      </w:r>
      <w:r>
        <w:rPr>
          <w:rFonts w:hint="eastAsia"/>
          <w:color w:val="auto"/>
          <w:vertAlign w:val="superscript"/>
          <w:lang w:val="en-US" w:eastAsia="zh-CN"/>
        </w:rPr>
        <w:t>2</w:t>
      </w:r>
    </w:p>
    <w:tbl>
      <w:tblPr>
        <w:tblStyle w:val="11"/>
        <w:tblW w:w="8817" w:type="dxa"/>
        <w:tblInd w:w="0" w:type="dxa"/>
        <w:shd w:val="clear" w:color="auto" w:fill="auto"/>
        <w:tblLayout w:type="fixed"/>
        <w:tblCellMar>
          <w:top w:w="0" w:type="dxa"/>
          <w:left w:w="0" w:type="dxa"/>
          <w:bottom w:w="0" w:type="dxa"/>
          <w:right w:w="0" w:type="dxa"/>
        </w:tblCellMar>
      </w:tblPr>
      <w:tblGrid>
        <w:gridCol w:w="2204"/>
        <w:gridCol w:w="2205"/>
        <w:gridCol w:w="2204"/>
        <w:gridCol w:w="2204"/>
      </w:tblGrid>
      <w:tr>
        <w:tblPrEx>
          <w:shd w:val="clear" w:color="auto" w:fill="auto"/>
          <w:tblCellMar>
            <w:top w:w="0" w:type="dxa"/>
            <w:left w:w="0" w:type="dxa"/>
            <w:bottom w:w="0" w:type="dxa"/>
            <w:right w:w="0" w:type="dxa"/>
          </w:tblCellMar>
        </w:tblPrEx>
        <w:trPr>
          <w:trHeight w:val="270" w:hRule="atLeast"/>
        </w:trPr>
        <w:tc>
          <w:tcPr>
            <w:tcW w:w="220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项目区</w:t>
            </w:r>
          </w:p>
        </w:tc>
        <w:tc>
          <w:tcPr>
            <w:tcW w:w="220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项目建设扰动面积</w:t>
            </w:r>
          </w:p>
        </w:tc>
        <w:tc>
          <w:tcPr>
            <w:tcW w:w="220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永久建筑面积</w:t>
            </w:r>
          </w:p>
        </w:tc>
        <w:tc>
          <w:tcPr>
            <w:tcW w:w="220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水土流失面积</w:t>
            </w:r>
          </w:p>
        </w:tc>
      </w:tr>
      <w:tr>
        <w:tblPrEx>
          <w:tblCellMar>
            <w:top w:w="0" w:type="dxa"/>
            <w:left w:w="0" w:type="dxa"/>
            <w:bottom w:w="0" w:type="dxa"/>
            <w:right w:w="0" w:type="dxa"/>
          </w:tblCellMar>
        </w:tblPrEx>
        <w:trPr>
          <w:trHeight w:val="270" w:hRule="atLeast"/>
        </w:trPr>
        <w:tc>
          <w:tcPr>
            <w:tcW w:w="220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p>
        </w:tc>
        <w:tc>
          <w:tcPr>
            <w:tcW w:w="2205"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p>
        </w:tc>
        <w:tc>
          <w:tcPr>
            <w:tcW w:w="220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p>
        </w:tc>
        <w:tc>
          <w:tcPr>
            <w:tcW w:w="220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p>
        </w:tc>
      </w:tr>
      <w:tr>
        <w:tblPrEx>
          <w:tblCellMar>
            <w:top w:w="0" w:type="dxa"/>
            <w:left w:w="0" w:type="dxa"/>
            <w:bottom w:w="0" w:type="dxa"/>
            <w:right w:w="0" w:type="dxa"/>
          </w:tblCellMar>
        </w:tblPrEx>
        <w:trPr>
          <w:trHeight w:val="540" w:hRule="atLeast"/>
        </w:trPr>
        <w:tc>
          <w:tcPr>
            <w:tcW w:w="220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路基工程区</w:t>
            </w:r>
          </w:p>
        </w:tc>
        <w:tc>
          <w:tcPr>
            <w:tcW w:w="220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58.19</w:t>
            </w:r>
          </w:p>
        </w:tc>
        <w:tc>
          <w:tcPr>
            <w:tcW w:w="22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30.17</w:t>
            </w:r>
          </w:p>
        </w:tc>
        <w:tc>
          <w:tcPr>
            <w:tcW w:w="22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28.02</w:t>
            </w:r>
          </w:p>
        </w:tc>
      </w:tr>
      <w:tr>
        <w:tblPrEx>
          <w:tblCellMar>
            <w:top w:w="0" w:type="dxa"/>
            <w:left w:w="0" w:type="dxa"/>
            <w:bottom w:w="0" w:type="dxa"/>
            <w:right w:w="0" w:type="dxa"/>
          </w:tblCellMar>
        </w:tblPrEx>
        <w:trPr>
          <w:trHeight w:val="540" w:hRule="atLeast"/>
        </w:trPr>
        <w:tc>
          <w:tcPr>
            <w:tcW w:w="220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桥梁工程区</w:t>
            </w:r>
          </w:p>
        </w:tc>
        <w:tc>
          <w:tcPr>
            <w:tcW w:w="220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0.19</w:t>
            </w:r>
          </w:p>
        </w:tc>
        <w:tc>
          <w:tcPr>
            <w:tcW w:w="22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0.17</w:t>
            </w:r>
          </w:p>
        </w:tc>
        <w:tc>
          <w:tcPr>
            <w:tcW w:w="22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0.02</w:t>
            </w:r>
          </w:p>
        </w:tc>
      </w:tr>
      <w:tr>
        <w:tblPrEx>
          <w:tblCellMar>
            <w:top w:w="0" w:type="dxa"/>
            <w:left w:w="0" w:type="dxa"/>
            <w:bottom w:w="0" w:type="dxa"/>
            <w:right w:w="0" w:type="dxa"/>
          </w:tblCellMar>
        </w:tblPrEx>
        <w:trPr>
          <w:trHeight w:val="270" w:hRule="atLeast"/>
        </w:trPr>
        <w:tc>
          <w:tcPr>
            <w:tcW w:w="220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弃渣场区</w:t>
            </w:r>
          </w:p>
        </w:tc>
        <w:tc>
          <w:tcPr>
            <w:tcW w:w="220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3.21</w:t>
            </w:r>
          </w:p>
        </w:tc>
        <w:tc>
          <w:tcPr>
            <w:tcW w:w="22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0</w:t>
            </w:r>
          </w:p>
        </w:tc>
        <w:tc>
          <w:tcPr>
            <w:tcW w:w="22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3.21</w:t>
            </w:r>
          </w:p>
        </w:tc>
      </w:tr>
      <w:tr>
        <w:tblPrEx>
          <w:tblCellMar>
            <w:top w:w="0" w:type="dxa"/>
            <w:left w:w="0" w:type="dxa"/>
            <w:bottom w:w="0" w:type="dxa"/>
            <w:right w:w="0" w:type="dxa"/>
          </w:tblCellMar>
        </w:tblPrEx>
        <w:trPr>
          <w:trHeight w:val="270" w:hRule="atLeast"/>
        </w:trPr>
        <w:tc>
          <w:tcPr>
            <w:tcW w:w="220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取料场区</w:t>
            </w:r>
          </w:p>
        </w:tc>
        <w:tc>
          <w:tcPr>
            <w:tcW w:w="220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2.26</w:t>
            </w:r>
          </w:p>
        </w:tc>
        <w:tc>
          <w:tcPr>
            <w:tcW w:w="22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0</w:t>
            </w:r>
          </w:p>
        </w:tc>
        <w:tc>
          <w:tcPr>
            <w:tcW w:w="22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2.26</w:t>
            </w:r>
          </w:p>
        </w:tc>
      </w:tr>
      <w:tr>
        <w:tblPrEx>
          <w:tblCellMar>
            <w:top w:w="0" w:type="dxa"/>
            <w:left w:w="0" w:type="dxa"/>
            <w:bottom w:w="0" w:type="dxa"/>
            <w:right w:w="0" w:type="dxa"/>
          </w:tblCellMar>
        </w:tblPrEx>
        <w:trPr>
          <w:trHeight w:val="270" w:hRule="atLeast"/>
        </w:trPr>
        <w:tc>
          <w:tcPr>
            <w:tcW w:w="220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拌合站区</w:t>
            </w:r>
          </w:p>
        </w:tc>
        <w:tc>
          <w:tcPr>
            <w:tcW w:w="220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0.3</w:t>
            </w:r>
          </w:p>
        </w:tc>
        <w:tc>
          <w:tcPr>
            <w:tcW w:w="22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0</w:t>
            </w:r>
          </w:p>
        </w:tc>
        <w:tc>
          <w:tcPr>
            <w:tcW w:w="22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0.3</w:t>
            </w:r>
          </w:p>
        </w:tc>
      </w:tr>
      <w:tr>
        <w:tblPrEx>
          <w:tblCellMar>
            <w:top w:w="0" w:type="dxa"/>
            <w:left w:w="0" w:type="dxa"/>
            <w:bottom w:w="0" w:type="dxa"/>
            <w:right w:w="0" w:type="dxa"/>
          </w:tblCellMar>
        </w:tblPrEx>
        <w:trPr>
          <w:trHeight w:val="270" w:hRule="atLeast"/>
        </w:trPr>
        <w:tc>
          <w:tcPr>
            <w:tcW w:w="220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合计</w:t>
            </w:r>
          </w:p>
        </w:tc>
        <w:tc>
          <w:tcPr>
            <w:tcW w:w="220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64.15</w:t>
            </w:r>
          </w:p>
        </w:tc>
        <w:tc>
          <w:tcPr>
            <w:tcW w:w="22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30.34</w:t>
            </w:r>
          </w:p>
        </w:tc>
        <w:tc>
          <w:tcPr>
            <w:tcW w:w="22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33.81</w:t>
            </w:r>
          </w:p>
        </w:tc>
      </w:tr>
    </w:tbl>
    <w:p>
      <w:pPr>
        <w:pStyle w:val="6"/>
        <w:rPr>
          <w:rFonts w:hint="default" w:ascii="Times New Roman" w:hAnsi="Times New Roman" w:eastAsia="仿宋_GB2312" w:cs="Times New Roman"/>
          <w:snapToGrid w:val="0"/>
          <w:color w:val="auto"/>
          <w:spacing w:val="0"/>
          <w:kern w:val="0"/>
          <w:sz w:val="24"/>
          <w:szCs w:val="28"/>
        </w:rPr>
      </w:pPr>
    </w:p>
    <w:p>
      <w:pPr>
        <w:pStyle w:val="3"/>
        <w:rPr>
          <w:rFonts w:hint="default"/>
          <w:color w:val="auto"/>
        </w:rPr>
      </w:pPr>
      <w:bookmarkStart w:id="142" w:name="_Toc6463"/>
      <w:r>
        <w:rPr>
          <w:rFonts w:hint="default"/>
          <w:color w:val="auto"/>
        </w:rPr>
        <w:t xml:space="preserve">5.2 </w:t>
      </w:r>
      <w:bookmarkEnd w:id="132"/>
      <w:bookmarkEnd w:id="133"/>
      <w:r>
        <w:rPr>
          <w:rFonts w:hint="default"/>
          <w:color w:val="auto"/>
        </w:rPr>
        <w:t>土壤流失量</w:t>
      </w:r>
      <w:bookmarkEnd w:id="142"/>
    </w:p>
    <w:p>
      <w:pPr>
        <w:pStyle w:val="4"/>
        <w:rPr>
          <w:rFonts w:hint="default"/>
          <w:color w:val="auto"/>
        </w:rPr>
      </w:pPr>
      <w:bookmarkStart w:id="143" w:name="_Toc400530788"/>
      <w:bookmarkStart w:id="144" w:name="_Toc400529687"/>
      <w:r>
        <w:rPr>
          <w:rFonts w:hint="default"/>
          <w:color w:val="auto"/>
        </w:rPr>
        <w:t xml:space="preserve">5.2.1 </w:t>
      </w:r>
      <w:bookmarkEnd w:id="143"/>
      <w:bookmarkEnd w:id="144"/>
      <w:r>
        <w:rPr>
          <w:rFonts w:hint="default"/>
          <w:color w:val="auto"/>
        </w:rPr>
        <w:t>原地貌土壤流失量</w:t>
      </w:r>
    </w:p>
    <w:p>
      <w:pPr>
        <w:adjustRightInd w:val="0"/>
        <w:spacing w:line="360" w:lineRule="auto"/>
        <w:ind w:firstLine="560"/>
        <w:rPr>
          <w:rFonts w:hint="default" w:ascii="Times New Roman" w:hAnsi="Times New Roman" w:eastAsia="仿宋_GB2312" w:cs="Times New Roman"/>
          <w:color w:val="auto"/>
          <w:spacing w:val="0"/>
          <w:sz w:val="24"/>
        </w:rPr>
      </w:pPr>
      <w:r>
        <w:rPr>
          <w:rFonts w:hint="eastAsia" w:cs="Times New Roman"/>
          <w:bCs/>
          <w:color w:val="auto"/>
          <w:spacing w:val="0"/>
          <w:kern w:val="28"/>
          <w:sz w:val="24"/>
          <w:szCs w:val="24"/>
          <w:lang w:val="zh-CN"/>
        </w:rPr>
        <w:t>结合</w:t>
      </w:r>
      <w:r>
        <w:rPr>
          <w:rFonts w:hint="eastAsia" w:cs="Times New Roman"/>
          <w:color w:val="auto"/>
          <w:spacing w:val="0"/>
          <w:sz w:val="24"/>
          <w:lang w:eastAsia="zh-CN"/>
        </w:rPr>
        <w:t>《</w:t>
      </w:r>
      <w:r>
        <w:rPr>
          <w:rFonts w:hint="eastAsia"/>
          <w:color w:val="auto"/>
          <w:lang w:eastAsia="zh-CN"/>
        </w:rPr>
        <w:t>G320线普安江西坡至三板桥段改扩建工程</w:t>
      </w:r>
      <w:r>
        <w:rPr>
          <w:rFonts w:hint="eastAsia" w:cs="Times New Roman"/>
          <w:color w:val="auto"/>
          <w:spacing w:val="0"/>
          <w:sz w:val="24"/>
          <w:lang w:eastAsia="zh-CN"/>
        </w:rPr>
        <w:t>水土保持方案报告书》（报批稿）</w:t>
      </w:r>
      <w:r>
        <w:rPr>
          <w:rFonts w:hint="eastAsia" w:ascii="Times New Roman" w:hAnsi="Times New Roman" w:eastAsia="仿宋_GB2312" w:cs="Times New Roman"/>
          <w:color w:val="auto"/>
          <w:spacing w:val="0"/>
          <w:sz w:val="24"/>
          <w:szCs w:val="24"/>
          <w:lang w:eastAsia="zh-CN"/>
        </w:rPr>
        <w:t>及现场调查</w:t>
      </w:r>
      <w:r>
        <w:rPr>
          <w:rFonts w:hint="default" w:ascii="Times New Roman" w:hAnsi="Times New Roman" w:eastAsia="仿宋_GB2312" w:cs="Times New Roman"/>
          <w:color w:val="auto"/>
          <w:spacing w:val="0"/>
          <w:sz w:val="24"/>
          <w:szCs w:val="24"/>
        </w:rPr>
        <w:t>计算，本项目区年平均土壤侵蚀模数约为</w:t>
      </w:r>
      <w:r>
        <w:rPr>
          <w:rFonts w:hint="eastAsia" w:cs="Times New Roman"/>
          <w:color w:val="auto"/>
          <w:spacing w:val="0"/>
          <w:kern w:val="28"/>
          <w:sz w:val="24"/>
          <w:szCs w:val="24"/>
          <w:lang w:val="en-US" w:eastAsia="zh-CN"/>
        </w:rPr>
        <w:t>566.55</w:t>
      </w:r>
      <w:r>
        <w:rPr>
          <w:rFonts w:hint="default" w:ascii="Times New Roman" w:hAnsi="Times New Roman" w:eastAsia="仿宋_GB2312" w:cs="Times New Roman"/>
          <w:color w:val="auto"/>
          <w:spacing w:val="0"/>
          <w:sz w:val="24"/>
          <w:szCs w:val="24"/>
        </w:rPr>
        <w:t>t/k</w:t>
      </w:r>
      <w:r>
        <w:rPr>
          <w:rFonts w:hint="eastAsia" w:cs="Times New Roman"/>
          <w:color w:val="auto"/>
          <w:spacing w:val="0"/>
          <w:sz w:val="24"/>
          <w:szCs w:val="24"/>
          <w:lang w:eastAsia="zh-CN"/>
        </w:rPr>
        <w:t>m</w:t>
      </w:r>
      <w:r>
        <w:rPr>
          <w:rFonts w:hint="eastAsia" w:cs="Times New Roman"/>
          <w:color w:val="auto"/>
          <w:spacing w:val="0"/>
          <w:sz w:val="24"/>
          <w:szCs w:val="24"/>
          <w:vertAlign w:val="superscript"/>
          <w:lang w:val="en-US" w:eastAsia="zh-CN"/>
        </w:rPr>
        <w:t>2</w:t>
      </w:r>
      <w:r>
        <w:rPr>
          <w:rFonts w:hint="default" w:ascii="Times New Roman" w:hAnsi="Times New Roman" w:eastAsia="仿宋_GB2312" w:cs="Times New Roman"/>
          <w:color w:val="auto"/>
          <w:spacing w:val="0"/>
          <w:sz w:val="24"/>
          <w:szCs w:val="24"/>
        </w:rPr>
        <w:t>·a，</w:t>
      </w:r>
      <w:r>
        <w:rPr>
          <w:rFonts w:hint="default" w:ascii="Times New Roman" w:hAnsi="Times New Roman" w:eastAsia="仿宋_GB2312" w:cs="Times New Roman"/>
          <w:color w:val="auto"/>
          <w:spacing w:val="0"/>
          <w:kern w:val="0"/>
          <w:sz w:val="24"/>
          <w:szCs w:val="24"/>
        </w:rPr>
        <w:t>年均土壤侵蚀量</w:t>
      </w:r>
      <w:r>
        <w:rPr>
          <w:rFonts w:hint="eastAsia" w:cs="Times New Roman"/>
          <w:color w:val="auto"/>
          <w:spacing w:val="0"/>
          <w:kern w:val="0"/>
          <w:sz w:val="24"/>
          <w:szCs w:val="24"/>
          <w:lang w:val="en-US" w:eastAsia="zh-CN"/>
        </w:rPr>
        <w:t>363.44</w:t>
      </w:r>
      <w:r>
        <w:rPr>
          <w:rFonts w:hint="default" w:ascii="Times New Roman" w:hAnsi="Times New Roman" w:eastAsia="仿宋_GB2312" w:cs="Times New Roman"/>
          <w:color w:val="auto"/>
          <w:spacing w:val="0"/>
          <w:kern w:val="0"/>
          <w:sz w:val="24"/>
          <w:szCs w:val="24"/>
        </w:rPr>
        <w:t>t</w:t>
      </w:r>
      <w:r>
        <w:rPr>
          <w:rFonts w:hint="default" w:ascii="Times New Roman" w:hAnsi="Times New Roman" w:eastAsia="仿宋_GB2312" w:cs="Times New Roman"/>
          <w:color w:val="auto"/>
          <w:spacing w:val="0"/>
          <w:sz w:val="24"/>
          <w:szCs w:val="24"/>
        </w:rPr>
        <w:t>。</w:t>
      </w:r>
    </w:p>
    <w:p>
      <w:pPr>
        <w:pStyle w:val="4"/>
        <w:rPr>
          <w:rFonts w:hint="default"/>
          <w:color w:val="auto"/>
        </w:rPr>
      </w:pPr>
      <w:r>
        <w:rPr>
          <w:rFonts w:hint="default"/>
          <w:color w:val="auto"/>
        </w:rPr>
        <w:t>5.2.2 建设期土壤流失量</w:t>
      </w:r>
    </w:p>
    <w:bookmarkEnd w:id="134"/>
    <w:bookmarkEnd w:id="135"/>
    <w:bookmarkEnd w:id="136"/>
    <w:p>
      <w:pPr>
        <w:rPr>
          <w:rFonts w:hint="default" w:ascii="Times New Roman" w:hAnsi="Times New Roman" w:eastAsia="仿宋_GB2312" w:cs="Times New Roman"/>
          <w:color w:val="auto"/>
          <w:spacing w:val="0"/>
          <w:sz w:val="24"/>
        </w:rPr>
      </w:pPr>
      <w:bookmarkStart w:id="145" w:name="_Toc400529696"/>
      <w:bookmarkStart w:id="146" w:name="_Toc371174622"/>
      <w:bookmarkStart w:id="147" w:name="_Toc400530797"/>
      <w:r>
        <w:rPr>
          <w:rFonts w:hint="default" w:ascii="Times New Roman" w:hAnsi="Times New Roman" w:eastAsia="仿宋_GB2312" w:cs="Times New Roman"/>
          <w:color w:val="auto"/>
          <w:spacing w:val="0"/>
          <w:sz w:val="24"/>
        </w:rPr>
        <w:t>项目建设区扰动地表区域通过建立遥感数据解译标志、从遥感数据上提取该区域林草覆盖度结合项目建设区地形图综合分析，参照《土壤侵蚀分级分类标准》（SL190-2007）的土壤侵蚀强度分级标准（表5-2）和面蚀分级指标（表5-3）等规定，确定水土流失等级。</w:t>
      </w:r>
    </w:p>
    <w:p>
      <w:pPr>
        <w:pStyle w:val="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表5-2                土壤侵蚀强度分级标准表</w:t>
      </w:r>
    </w:p>
    <w:tbl>
      <w:tblPr>
        <w:tblStyle w:val="11"/>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2840"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侵蚀级别</w:t>
            </w:r>
          </w:p>
        </w:tc>
        <w:tc>
          <w:tcPr>
            <w:tcW w:w="2841"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平均侵蚀模数</w:t>
            </w:r>
          </w:p>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t/(K</w:t>
            </w:r>
            <w:r>
              <w:rPr>
                <w:rFonts w:hint="eastAsia" w:cs="Times New Roman"/>
                <w:color w:val="auto"/>
                <w:spacing w:val="0"/>
                <w:sz w:val="24"/>
                <w:lang w:eastAsia="zh-CN"/>
              </w:rPr>
              <w:t>m²</w:t>
            </w:r>
            <w:r>
              <w:rPr>
                <w:rFonts w:hint="default" w:ascii="Times New Roman" w:hAnsi="Times New Roman" w:eastAsia="仿宋_GB2312" w:cs="Times New Roman"/>
                <w:color w:val="auto"/>
                <w:spacing w:val="0"/>
                <w:sz w:val="24"/>
              </w:rPr>
              <w:t>·a)</w:t>
            </w:r>
          </w:p>
        </w:tc>
        <w:tc>
          <w:tcPr>
            <w:tcW w:w="2841"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平均流失厚度</w:t>
            </w:r>
          </w:p>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lang w:val="en-CA"/>
              </w:rPr>
              <w:t>（</w:t>
            </w:r>
            <w:r>
              <w:rPr>
                <w:rFonts w:hint="default" w:ascii="Times New Roman" w:hAnsi="Times New Roman" w:eastAsia="仿宋_GB2312" w:cs="Times New Roman"/>
                <w:color w:val="auto"/>
                <w:spacing w:val="0"/>
                <w:sz w:val="24"/>
              </w:rPr>
              <w:t>mm/a</w:t>
            </w:r>
            <w:r>
              <w:rPr>
                <w:rFonts w:hint="default" w:ascii="Times New Roman" w:hAnsi="Times New Roman" w:eastAsia="仿宋_GB2312" w:cs="Times New Roman"/>
                <w:color w:val="auto"/>
                <w:spacing w:val="0"/>
                <w:sz w:val="24"/>
                <w:lang w:val="en-C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0"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微度侵蚀</w:t>
            </w:r>
          </w:p>
        </w:tc>
        <w:tc>
          <w:tcPr>
            <w:tcW w:w="2841"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&lt;500</w:t>
            </w:r>
          </w:p>
        </w:tc>
        <w:tc>
          <w:tcPr>
            <w:tcW w:w="2841"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&lt;0.37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0"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轻度侵蚀</w:t>
            </w:r>
          </w:p>
        </w:tc>
        <w:tc>
          <w:tcPr>
            <w:tcW w:w="2841"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500-2500</w:t>
            </w:r>
          </w:p>
        </w:tc>
        <w:tc>
          <w:tcPr>
            <w:tcW w:w="2841"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0.37-1.9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0"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中度侵蚀</w:t>
            </w:r>
          </w:p>
        </w:tc>
        <w:tc>
          <w:tcPr>
            <w:tcW w:w="2841"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2500-5000</w:t>
            </w:r>
          </w:p>
        </w:tc>
        <w:tc>
          <w:tcPr>
            <w:tcW w:w="2841"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1.9-3.7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0"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强烈侵蚀</w:t>
            </w:r>
          </w:p>
        </w:tc>
        <w:tc>
          <w:tcPr>
            <w:tcW w:w="2841"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5000-8000</w:t>
            </w:r>
          </w:p>
        </w:tc>
        <w:tc>
          <w:tcPr>
            <w:tcW w:w="2841"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3.7-5.9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0"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极强烈侵蚀</w:t>
            </w:r>
          </w:p>
        </w:tc>
        <w:tc>
          <w:tcPr>
            <w:tcW w:w="2841"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8000-15000</w:t>
            </w:r>
          </w:p>
        </w:tc>
        <w:tc>
          <w:tcPr>
            <w:tcW w:w="2841"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5.9-11.1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0"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剧烈侵蚀</w:t>
            </w:r>
          </w:p>
        </w:tc>
        <w:tc>
          <w:tcPr>
            <w:tcW w:w="2841"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&gt;15000</w:t>
            </w:r>
          </w:p>
        </w:tc>
        <w:tc>
          <w:tcPr>
            <w:tcW w:w="2841"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&gt;11.1</w:t>
            </w:r>
          </w:p>
        </w:tc>
      </w:tr>
    </w:tbl>
    <w:p>
      <w:pPr>
        <w:pStyle w:val="6"/>
        <w:rPr>
          <w:rFonts w:hint="default" w:ascii="Times New Roman" w:hAnsi="Times New Roman" w:eastAsia="仿宋_GB2312" w:cs="Times New Roman"/>
          <w:color w:val="auto"/>
          <w:spacing w:val="0"/>
          <w:sz w:val="24"/>
        </w:rPr>
      </w:pPr>
    </w:p>
    <w:p>
      <w:pPr>
        <w:pStyle w:val="6"/>
        <w:rPr>
          <w:rFonts w:hint="default" w:ascii="Times New Roman" w:hAnsi="Times New Roman" w:eastAsia="仿宋_GB2312" w:cs="Times New Roman"/>
          <w:color w:val="auto"/>
          <w:spacing w:val="0"/>
          <w:sz w:val="24"/>
        </w:rPr>
      </w:pPr>
    </w:p>
    <w:p>
      <w:pPr>
        <w:pStyle w:val="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表5-3                    面蚀分级指标表</w:t>
      </w:r>
    </w:p>
    <w:tbl>
      <w:tblPr>
        <w:tblStyle w:val="11"/>
        <w:tblW w:w="852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5"/>
        <w:gridCol w:w="910"/>
        <w:gridCol w:w="1175"/>
        <w:gridCol w:w="138"/>
        <w:gridCol w:w="1483"/>
        <w:gridCol w:w="1484"/>
        <w:gridCol w:w="1483"/>
        <w:gridCol w:w="9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35" w:type="dxa"/>
            <w:gridSpan w:val="2"/>
            <w:tcBorders>
              <w:tl2br w:val="single" w:color="auto" w:sz="12" w:space="0"/>
            </w:tcBorders>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 xml:space="preserve">     地面坡度</w:t>
            </w:r>
          </w:p>
          <w:p>
            <w:pPr>
              <w:pStyle w:val="16"/>
              <w:jc w:val="both"/>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地类</w:t>
            </w:r>
          </w:p>
        </w:tc>
        <w:tc>
          <w:tcPr>
            <w:tcW w:w="1313" w:type="dxa"/>
            <w:gridSpan w:val="2"/>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5°-8°</w:t>
            </w:r>
          </w:p>
        </w:tc>
        <w:tc>
          <w:tcPr>
            <w:tcW w:w="1483"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8°-15°</w:t>
            </w:r>
          </w:p>
        </w:tc>
        <w:tc>
          <w:tcPr>
            <w:tcW w:w="1484"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15°-25°</w:t>
            </w:r>
          </w:p>
        </w:tc>
        <w:tc>
          <w:tcPr>
            <w:tcW w:w="1483"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25°-35°</w:t>
            </w:r>
          </w:p>
        </w:tc>
        <w:tc>
          <w:tcPr>
            <w:tcW w:w="925"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&gt;35°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5" w:type="dxa"/>
            <w:vMerge w:val="restart"/>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非耕地林草覆盖度（％）</w:t>
            </w:r>
          </w:p>
        </w:tc>
        <w:tc>
          <w:tcPr>
            <w:tcW w:w="910"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60-75</w:t>
            </w:r>
          </w:p>
        </w:tc>
        <w:tc>
          <w:tcPr>
            <w:tcW w:w="1313" w:type="dxa"/>
            <w:gridSpan w:val="2"/>
            <w:vAlign w:val="center"/>
          </w:tcPr>
          <w:p>
            <w:pPr>
              <w:pStyle w:val="16"/>
              <w:rPr>
                <w:rFonts w:hint="default" w:ascii="Times New Roman" w:hAnsi="Times New Roman" w:eastAsia="仿宋_GB2312" w:cs="Times New Roman"/>
                <w:color w:val="auto"/>
                <w:spacing w:val="0"/>
                <w:sz w:val="24"/>
              </w:rPr>
            </w:pPr>
          </w:p>
        </w:tc>
        <w:tc>
          <w:tcPr>
            <w:tcW w:w="1483"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mc:AlternateContent>
                <mc:Choice Requires="wps">
                  <w:drawing>
                    <wp:anchor distT="0" distB="0" distL="114300" distR="114300" simplePos="0" relativeHeight="251658240" behindDoc="0" locked="0" layoutInCell="0" allowOverlap="1">
                      <wp:simplePos x="0" y="0"/>
                      <wp:positionH relativeFrom="column">
                        <wp:posOffset>840105</wp:posOffset>
                      </wp:positionH>
                      <wp:positionV relativeFrom="paragraph">
                        <wp:posOffset>210820</wp:posOffset>
                      </wp:positionV>
                      <wp:extent cx="635" cy="0"/>
                      <wp:effectExtent l="0" t="0" r="0" b="0"/>
                      <wp:wrapNone/>
                      <wp:docPr id="16" name="直接连接符 16"/>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6.15pt;margin-top:16.6pt;height:0pt;width:0.05pt;z-index:251658240;mso-width-relative:page;mso-height-relative:page;" filled="f" stroked="t" coordsize="21600,21600" o:allowincell="f" o:gfxdata="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zb3H81AAAAAkBAAAPAAAAAAAAAAEAIAAA&#10;ACIAAABkcnMvZG93bnJldi54bWxQSwECFAAUAAAACACHTuJAVIqqd9cBAACUAwAADgAAAAAAAAAB&#10;ACAAAAAjAQAAZHJzL2Uyb0RvYy54bWxQSwUGAAAAAAYABgBZAQAAbAUAAAAA&#10;">
                      <v:fill on="f" focussize="0,0"/>
                      <v:stroke color="#000000" joinstyle="round"/>
                      <v:imagedata o:title=""/>
                      <o:lock v:ext="edit" aspectratio="f"/>
                    </v:line>
                  </w:pict>
                </mc:Fallback>
              </mc:AlternateContent>
            </w:r>
            <w:r>
              <w:rPr>
                <w:rFonts w:hint="default" w:ascii="Times New Roman" w:hAnsi="Times New Roman" w:eastAsia="仿宋_GB2312" w:cs="Times New Roman"/>
                <w:color w:val="auto"/>
                <w:spacing w:val="0"/>
                <w:sz w:val="24"/>
              </w:rPr>
              <w:t>度</w:t>
            </w:r>
          </w:p>
        </w:tc>
        <w:tc>
          <w:tcPr>
            <w:tcW w:w="1484" w:type="dxa"/>
            <w:vAlign w:val="center"/>
          </w:tcPr>
          <w:p>
            <w:pPr>
              <w:pStyle w:val="16"/>
              <w:rPr>
                <w:rFonts w:hint="default" w:ascii="Times New Roman" w:hAnsi="Times New Roman" w:eastAsia="仿宋_GB2312" w:cs="Times New Roman"/>
                <w:color w:val="auto"/>
                <w:spacing w:val="0"/>
                <w:sz w:val="24"/>
              </w:rPr>
            </w:pPr>
          </w:p>
        </w:tc>
        <w:tc>
          <w:tcPr>
            <w:tcW w:w="2408" w:type="dxa"/>
            <w:gridSpan w:val="2"/>
            <w:vAlign w:val="center"/>
          </w:tcPr>
          <w:p>
            <w:pPr>
              <w:pStyle w:val="16"/>
              <w:rPr>
                <w:rFonts w:hint="default" w:ascii="Times New Roman" w:hAnsi="Times New Roman" w:eastAsia="仿宋_GB2312" w:cs="Times New Roman"/>
                <w:color w:val="auto"/>
                <w:spacing w:val="0"/>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5" w:type="dxa"/>
            <w:vMerge w:val="continue"/>
            <w:vAlign w:val="center"/>
          </w:tcPr>
          <w:p>
            <w:pPr>
              <w:pStyle w:val="16"/>
              <w:rPr>
                <w:rFonts w:hint="default" w:ascii="Times New Roman" w:hAnsi="Times New Roman" w:eastAsia="仿宋_GB2312" w:cs="Times New Roman"/>
                <w:color w:val="auto"/>
                <w:spacing w:val="0"/>
                <w:sz w:val="24"/>
              </w:rPr>
            </w:pPr>
          </w:p>
        </w:tc>
        <w:tc>
          <w:tcPr>
            <w:tcW w:w="910"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45-60</w:t>
            </w:r>
          </w:p>
        </w:tc>
        <w:tc>
          <w:tcPr>
            <w:tcW w:w="1313" w:type="dxa"/>
            <w:gridSpan w:val="2"/>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轻</w:t>
            </w:r>
          </w:p>
        </w:tc>
        <w:tc>
          <w:tcPr>
            <w:tcW w:w="1483" w:type="dxa"/>
            <w:vAlign w:val="center"/>
          </w:tcPr>
          <w:p>
            <w:pPr>
              <w:pStyle w:val="16"/>
              <w:rPr>
                <w:rFonts w:hint="default" w:ascii="Times New Roman" w:hAnsi="Times New Roman" w:eastAsia="仿宋_GB2312" w:cs="Times New Roman"/>
                <w:color w:val="auto"/>
                <w:spacing w:val="0"/>
                <w:sz w:val="24"/>
              </w:rPr>
            </w:pPr>
          </w:p>
        </w:tc>
        <w:tc>
          <w:tcPr>
            <w:tcW w:w="2967" w:type="dxa"/>
            <w:gridSpan w:val="2"/>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度</w:t>
            </w:r>
          </w:p>
        </w:tc>
        <w:tc>
          <w:tcPr>
            <w:tcW w:w="925"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强  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5" w:type="dxa"/>
            <w:vMerge w:val="continue"/>
            <w:vAlign w:val="center"/>
          </w:tcPr>
          <w:p>
            <w:pPr>
              <w:pStyle w:val="16"/>
              <w:rPr>
                <w:rFonts w:hint="default" w:ascii="Times New Roman" w:hAnsi="Times New Roman" w:eastAsia="仿宋_GB2312" w:cs="Times New Roman"/>
                <w:color w:val="auto"/>
                <w:spacing w:val="0"/>
                <w:sz w:val="24"/>
              </w:rPr>
            </w:pPr>
          </w:p>
        </w:tc>
        <w:tc>
          <w:tcPr>
            <w:tcW w:w="910"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30-45</w:t>
            </w:r>
          </w:p>
        </w:tc>
        <w:tc>
          <w:tcPr>
            <w:tcW w:w="1313" w:type="dxa"/>
            <w:gridSpan w:val="2"/>
            <w:vAlign w:val="center"/>
          </w:tcPr>
          <w:p>
            <w:pPr>
              <w:pStyle w:val="16"/>
              <w:rPr>
                <w:rFonts w:hint="default" w:ascii="Times New Roman" w:hAnsi="Times New Roman" w:eastAsia="仿宋_GB2312" w:cs="Times New Roman"/>
                <w:color w:val="auto"/>
                <w:spacing w:val="0"/>
                <w:sz w:val="24"/>
              </w:rPr>
            </w:pPr>
          </w:p>
        </w:tc>
        <w:tc>
          <w:tcPr>
            <w:tcW w:w="2967" w:type="dxa"/>
            <w:gridSpan w:val="2"/>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中</w:t>
            </w:r>
          </w:p>
        </w:tc>
        <w:tc>
          <w:tcPr>
            <w:tcW w:w="1483"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强  烈</w:t>
            </w:r>
          </w:p>
        </w:tc>
        <w:tc>
          <w:tcPr>
            <w:tcW w:w="925"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极强烈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5" w:type="dxa"/>
            <w:vMerge w:val="continue"/>
            <w:vAlign w:val="center"/>
          </w:tcPr>
          <w:p>
            <w:pPr>
              <w:pStyle w:val="16"/>
              <w:rPr>
                <w:rFonts w:hint="default" w:ascii="Times New Roman" w:hAnsi="Times New Roman" w:eastAsia="仿宋_GB2312" w:cs="Times New Roman"/>
                <w:color w:val="auto"/>
                <w:spacing w:val="0"/>
                <w:sz w:val="24"/>
              </w:rPr>
            </w:pPr>
          </w:p>
        </w:tc>
        <w:tc>
          <w:tcPr>
            <w:tcW w:w="910"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&lt;30</w:t>
            </w:r>
          </w:p>
        </w:tc>
        <w:tc>
          <w:tcPr>
            <w:tcW w:w="2796" w:type="dxa"/>
            <w:gridSpan w:val="3"/>
            <w:vAlign w:val="center"/>
          </w:tcPr>
          <w:p>
            <w:pPr>
              <w:pStyle w:val="16"/>
              <w:rPr>
                <w:rFonts w:hint="default" w:ascii="Times New Roman" w:hAnsi="Times New Roman" w:eastAsia="仿宋_GB2312" w:cs="Times New Roman"/>
                <w:color w:val="auto"/>
                <w:spacing w:val="0"/>
                <w:sz w:val="24"/>
              </w:rPr>
            </w:pPr>
          </w:p>
        </w:tc>
        <w:tc>
          <w:tcPr>
            <w:tcW w:w="1484" w:type="dxa"/>
            <w:vMerge w:val="restart"/>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强  烈</w:t>
            </w:r>
          </w:p>
        </w:tc>
        <w:tc>
          <w:tcPr>
            <w:tcW w:w="1483" w:type="dxa"/>
            <w:vMerge w:val="restart"/>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极强烈</w:t>
            </w:r>
          </w:p>
        </w:tc>
        <w:tc>
          <w:tcPr>
            <w:tcW w:w="925" w:type="dxa"/>
            <w:vMerge w:val="restart"/>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剧  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35" w:type="dxa"/>
            <w:gridSpan w:val="2"/>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坡耕地</w:t>
            </w:r>
          </w:p>
        </w:tc>
        <w:tc>
          <w:tcPr>
            <w:tcW w:w="1175" w:type="dxa"/>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轻  度</w:t>
            </w:r>
          </w:p>
        </w:tc>
        <w:tc>
          <w:tcPr>
            <w:tcW w:w="1621" w:type="dxa"/>
            <w:gridSpan w:val="2"/>
            <w:vAlign w:val="center"/>
          </w:tcPr>
          <w:p>
            <w:pPr>
              <w:pStyle w:val="16"/>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中  度</w:t>
            </w:r>
          </w:p>
        </w:tc>
        <w:tc>
          <w:tcPr>
            <w:tcW w:w="1484" w:type="dxa"/>
            <w:vMerge w:val="continue"/>
            <w:vAlign w:val="center"/>
          </w:tcPr>
          <w:p>
            <w:pPr>
              <w:pStyle w:val="16"/>
              <w:rPr>
                <w:rFonts w:hint="default" w:ascii="Times New Roman" w:hAnsi="Times New Roman" w:eastAsia="仿宋_GB2312" w:cs="Times New Roman"/>
                <w:color w:val="auto"/>
                <w:spacing w:val="0"/>
                <w:sz w:val="24"/>
              </w:rPr>
            </w:pPr>
          </w:p>
        </w:tc>
        <w:tc>
          <w:tcPr>
            <w:tcW w:w="1483" w:type="dxa"/>
            <w:vMerge w:val="continue"/>
            <w:vAlign w:val="center"/>
          </w:tcPr>
          <w:p>
            <w:pPr>
              <w:pStyle w:val="16"/>
              <w:rPr>
                <w:rFonts w:hint="default" w:ascii="Times New Roman" w:hAnsi="Times New Roman" w:eastAsia="仿宋_GB2312" w:cs="Times New Roman"/>
                <w:color w:val="auto"/>
                <w:spacing w:val="0"/>
                <w:sz w:val="24"/>
              </w:rPr>
            </w:pPr>
          </w:p>
        </w:tc>
        <w:tc>
          <w:tcPr>
            <w:tcW w:w="925" w:type="dxa"/>
            <w:vMerge w:val="continue"/>
            <w:vAlign w:val="center"/>
          </w:tcPr>
          <w:p>
            <w:pPr>
              <w:pStyle w:val="16"/>
              <w:rPr>
                <w:rFonts w:hint="default" w:ascii="Times New Roman" w:hAnsi="Times New Roman" w:eastAsia="仿宋_GB2312" w:cs="Times New Roman"/>
                <w:color w:val="auto"/>
                <w:spacing w:val="0"/>
                <w:sz w:val="24"/>
              </w:rPr>
            </w:pPr>
          </w:p>
        </w:tc>
      </w:tr>
    </w:tbl>
    <w:p>
      <w:pPr>
        <w:rPr>
          <w:rFonts w:hint="eastAsia"/>
          <w:color w:val="auto"/>
          <w:lang w:val="en-US" w:eastAsia="zh-CN"/>
        </w:rPr>
      </w:pPr>
      <w:r>
        <w:rPr>
          <w:rFonts w:hint="eastAsia"/>
          <w:color w:val="auto"/>
          <w:lang w:val="en-US" w:eastAsia="zh-CN"/>
        </w:rPr>
        <w:t>结合现场调查，</w:t>
      </w:r>
      <w:r>
        <w:rPr>
          <w:rFonts w:hint="eastAsia"/>
          <w:color w:val="auto"/>
          <w:spacing w:val="-7"/>
          <w:lang w:eastAsia="zh-CN"/>
        </w:rPr>
        <w:t>自监测小组进场</w:t>
      </w:r>
      <w:r>
        <w:rPr>
          <w:color w:val="auto"/>
          <w:spacing w:val="-20"/>
        </w:rPr>
        <w:t xml:space="preserve">至 </w:t>
      </w:r>
      <w:r>
        <w:rPr>
          <w:rFonts w:ascii="Times New Roman" w:hAnsi="Times New Roman" w:eastAsia="Times New Roman"/>
          <w:color w:val="auto"/>
        </w:rPr>
        <w:t>20</w:t>
      </w:r>
      <w:r>
        <w:rPr>
          <w:rFonts w:hint="eastAsia" w:eastAsia="宋体"/>
          <w:color w:val="auto"/>
          <w:lang w:val="en-US" w:eastAsia="zh-CN"/>
        </w:rPr>
        <w:t>20</w:t>
      </w:r>
      <w:r>
        <w:rPr>
          <w:color w:val="auto"/>
          <w:spacing w:val="-30"/>
        </w:rPr>
        <w:t xml:space="preserve">年 </w:t>
      </w:r>
      <w:r>
        <w:rPr>
          <w:rFonts w:hint="eastAsia" w:eastAsia="宋体"/>
          <w:color w:val="auto"/>
          <w:lang w:val="en-US" w:eastAsia="zh-CN"/>
        </w:rPr>
        <w:t>5</w:t>
      </w:r>
      <w:r>
        <w:rPr>
          <w:color w:val="auto"/>
          <w:spacing w:val="-11"/>
        </w:rPr>
        <w:t>月，</w:t>
      </w:r>
      <w:r>
        <w:rPr>
          <w:rFonts w:hint="eastAsia"/>
          <w:color w:val="auto"/>
          <w:spacing w:val="-11"/>
          <w:lang w:val="en-US" w:eastAsia="zh-CN"/>
        </w:rPr>
        <w:t>建设单位还未对拌合站及取料场区进行采取措施，</w:t>
      </w:r>
      <w:r>
        <w:rPr>
          <w:color w:val="auto"/>
          <w:spacing w:val="-11"/>
        </w:rPr>
        <w:t>根据监测结果显示，项目开</w:t>
      </w:r>
      <w:r>
        <w:rPr>
          <w:color w:val="auto"/>
          <w:spacing w:val="-13"/>
        </w:rPr>
        <w:t>展水土保持监测期间，项目建设区扰动地表面积为</w:t>
      </w:r>
      <w:r>
        <w:rPr>
          <w:rFonts w:hint="eastAsia" w:eastAsia="宋体"/>
          <w:color w:val="auto"/>
          <w:lang w:val="en-US" w:eastAsia="zh-CN"/>
        </w:rPr>
        <w:t>33.81</w:t>
      </w:r>
      <w:r>
        <w:rPr>
          <w:rFonts w:ascii="Times New Roman" w:hAnsi="Times New Roman" w:eastAsia="Times New Roman"/>
          <w:color w:val="auto"/>
        </w:rPr>
        <w:t>h</w:t>
      </w:r>
      <w:r>
        <w:rPr>
          <w:rFonts w:hint="eastAsia" w:eastAsia="宋体"/>
          <w:color w:val="auto"/>
          <w:lang w:eastAsia="zh-CN"/>
        </w:rPr>
        <w:t>m</w:t>
      </w:r>
      <w:r>
        <w:rPr>
          <w:rFonts w:hint="eastAsia" w:eastAsia="宋体"/>
          <w:color w:val="auto"/>
          <w:vertAlign w:val="superscript"/>
          <w:lang w:val="en-US" w:eastAsia="zh-CN"/>
        </w:rPr>
        <w:t>2</w:t>
      </w:r>
      <w:r>
        <w:rPr>
          <w:color w:val="auto"/>
        </w:rPr>
        <w:t>，扰动区域平均土</w:t>
      </w:r>
      <w:r>
        <w:rPr>
          <w:color w:val="auto"/>
          <w:spacing w:val="-11"/>
        </w:rPr>
        <w:t>壤侵蚀模数</w:t>
      </w:r>
      <w:r>
        <w:rPr>
          <w:rFonts w:hint="eastAsia"/>
          <w:color w:val="auto"/>
          <w:spacing w:val="-11"/>
          <w:lang w:val="en-US" w:eastAsia="zh-CN"/>
        </w:rPr>
        <w:t>569.56</w:t>
      </w:r>
      <w:r>
        <w:rPr>
          <w:rFonts w:ascii="Times New Roman" w:hAnsi="Times New Roman" w:eastAsia="Times New Roman"/>
          <w:color w:val="auto"/>
        </w:rPr>
        <w:t>t/km²·a</w:t>
      </w:r>
      <w:r>
        <w:rPr>
          <w:color w:val="auto"/>
          <w:spacing w:val="-5"/>
        </w:rPr>
        <w:t xml:space="preserve">，扰动地表土壤流失总量为 </w:t>
      </w:r>
      <w:r>
        <w:rPr>
          <w:rFonts w:hint="eastAsia" w:eastAsia="宋体"/>
          <w:color w:val="auto"/>
          <w:lang w:val="en-US" w:eastAsia="zh-CN"/>
        </w:rPr>
        <w:t>385.14</w:t>
      </w:r>
      <w:r>
        <w:rPr>
          <w:rFonts w:ascii="Times New Roman" w:hAnsi="Times New Roman" w:eastAsia="Times New Roman"/>
          <w:color w:val="auto"/>
        </w:rPr>
        <w:t>t</w:t>
      </w:r>
      <w:r>
        <w:rPr>
          <w:color w:val="auto"/>
          <w:spacing w:val="-3"/>
        </w:rPr>
        <w:t>。扰动地表土壤</w:t>
      </w:r>
      <w:r>
        <w:rPr>
          <w:color w:val="auto"/>
          <w:spacing w:val="-12"/>
        </w:rPr>
        <w:t>流失量详见表</w:t>
      </w:r>
      <w:r>
        <w:rPr>
          <w:rFonts w:ascii="Times New Roman" w:hAnsi="Times New Roman" w:eastAsia="Times New Roman"/>
          <w:color w:val="auto"/>
        </w:rPr>
        <w:t>5-4</w:t>
      </w:r>
      <w:r>
        <w:rPr>
          <w:color w:val="auto"/>
        </w:rPr>
        <w:t>。</w:t>
      </w:r>
      <w:r>
        <w:rPr>
          <w:rFonts w:hint="eastAsia"/>
          <w:color w:val="auto"/>
          <w:lang w:val="en-US" w:eastAsia="zh-CN"/>
        </w:rPr>
        <w:t>本项目建设区水土流失分布情况如下：</w:t>
      </w:r>
    </w:p>
    <w:p>
      <w:pPr>
        <w:pStyle w:val="17"/>
        <w:bidi w:val="0"/>
        <w:rPr>
          <w:rFonts w:hint="eastAsia"/>
          <w:b w:val="0"/>
          <w:bCs w:val="0"/>
          <w:color w:val="auto"/>
          <w:sz w:val="24"/>
          <w:szCs w:val="24"/>
          <w:lang w:val="en-US" w:eastAsia="zh-CN"/>
        </w:rPr>
      </w:pPr>
      <w:r>
        <w:rPr>
          <w:b w:val="0"/>
          <w:bCs w:val="0"/>
          <w:color w:val="auto"/>
          <w:sz w:val="24"/>
          <w:szCs w:val="24"/>
        </w:rPr>
        <w:t>表 5-4</w:t>
      </w:r>
      <w:r>
        <w:rPr>
          <w:b w:val="0"/>
          <w:bCs w:val="0"/>
          <w:color w:val="auto"/>
          <w:sz w:val="24"/>
          <w:szCs w:val="24"/>
        </w:rPr>
        <w:tab/>
      </w:r>
      <w:r>
        <w:rPr>
          <w:b w:val="0"/>
          <w:bCs w:val="0"/>
          <w:color w:val="auto"/>
          <w:sz w:val="24"/>
          <w:szCs w:val="24"/>
        </w:rPr>
        <w:t>项目建设期土壤流失量计算表</w:t>
      </w:r>
    </w:p>
    <w:tbl>
      <w:tblPr>
        <w:tblStyle w:val="11"/>
        <w:tblW w:w="8817" w:type="dxa"/>
        <w:tblInd w:w="0" w:type="dxa"/>
        <w:shd w:val="clear" w:color="auto" w:fill="auto"/>
        <w:tblLayout w:type="fixed"/>
        <w:tblCellMar>
          <w:top w:w="0" w:type="dxa"/>
          <w:left w:w="0" w:type="dxa"/>
          <w:bottom w:w="0" w:type="dxa"/>
          <w:right w:w="0" w:type="dxa"/>
        </w:tblCellMar>
      </w:tblPr>
      <w:tblGrid>
        <w:gridCol w:w="1200"/>
        <w:gridCol w:w="1335"/>
        <w:gridCol w:w="1581"/>
        <w:gridCol w:w="1059"/>
        <w:gridCol w:w="931"/>
        <w:gridCol w:w="1416"/>
        <w:gridCol w:w="1295"/>
      </w:tblGrid>
      <w:tr>
        <w:tblPrEx>
          <w:shd w:val="clear" w:color="auto" w:fill="auto"/>
          <w:tblCellMar>
            <w:top w:w="0" w:type="dxa"/>
            <w:left w:w="0" w:type="dxa"/>
            <w:bottom w:w="0" w:type="dxa"/>
            <w:right w:w="0" w:type="dxa"/>
          </w:tblCellMar>
        </w:tblPrEx>
        <w:trPr>
          <w:trHeight w:val="855" w:hRule="atLeast"/>
        </w:trPr>
        <w:tc>
          <w:tcPr>
            <w:tcW w:w="1200"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项目区</w:t>
            </w:r>
          </w:p>
        </w:tc>
        <w:tc>
          <w:tcPr>
            <w:tcW w:w="133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水土流失面积</w:t>
            </w:r>
          </w:p>
        </w:tc>
        <w:tc>
          <w:tcPr>
            <w:tcW w:w="1581"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监测时段</w:t>
            </w:r>
          </w:p>
        </w:tc>
        <w:tc>
          <w:tcPr>
            <w:tcW w:w="1059"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强度级别</w:t>
            </w:r>
          </w:p>
        </w:tc>
        <w:tc>
          <w:tcPr>
            <w:tcW w:w="931"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color w:val="auto"/>
              </w:rPr>
            </w:pPr>
            <w:r>
              <w:rPr>
                <w:rFonts w:hint="eastAsia"/>
                <w:color w:val="auto"/>
                <w:lang w:val="en-US" w:eastAsia="zh-CN"/>
              </w:rPr>
              <w:t>侵蚀时间</w:t>
            </w:r>
          </w:p>
        </w:tc>
        <w:tc>
          <w:tcPr>
            <w:tcW w:w="141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 xml:space="preserve">土壤侵蚀模数 </w:t>
            </w:r>
            <w:r>
              <w:rPr>
                <w:color w:val="auto"/>
                <w:lang w:val="en-US" w:eastAsia="zh-CN"/>
              </w:rPr>
              <w:t>t/km</w:t>
            </w:r>
            <w:r>
              <w:rPr>
                <w:color w:val="auto"/>
                <w:vertAlign w:val="superscript"/>
                <w:lang w:val="en-US" w:eastAsia="zh-CN"/>
              </w:rPr>
              <w:t>2</w:t>
            </w:r>
            <w:r>
              <w:rPr>
                <w:color w:val="auto"/>
                <w:lang w:val="en-US" w:eastAsia="zh-CN"/>
              </w:rPr>
              <w:t>·a</w:t>
            </w:r>
          </w:p>
        </w:tc>
        <w:tc>
          <w:tcPr>
            <w:tcW w:w="129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土壤流失量（</w:t>
            </w:r>
            <w:r>
              <w:rPr>
                <w:color w:val="auto"/>
                <w:lang w:val="en-US" w:eastAsia="zh-CN"/>
              </w:rPr>
              <w:t>t）</w:t>
            </w:r>
          </w:p>
        </w:tc>
      </w:tr>
      <w:tr>
        <w:tblPrEx>
          <w:tblCellMar>
            <w:top w:w="0" w:type="dxa"/>
            <w:left w:w="0" w:type="dxa"/>
            <w:bottom w:w="0" w:type="dxa"/>
            <w:right w:w="0" w:type="dxa"/>
          </w:tblCellMar>
        </w:tblPrEx>
        <w:trPr>
          <w:trHeight w:val="270" w:hRule="atLeast"/>
        </w:trPr>
        <w:tc>
          <w:tcPr>
            <w:tcW w:w="120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p>
        </w:tc>
        <w:tc>
          <w:tcPr>
            <w:tcW w:w="1335"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p>
        </w:tc>
        <w:tc>
          <w:tcPr>
            <w:tcW w:w="1581"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p>
        </w:tc>
        <w:tc>
          <w:tcPr>
            <w:tcW w:w="1059"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p>
        </w:tc>
        <w:tc>
          <w:tcPr>
            <w:tcW w:w="931"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p>
        </w:tc>
        <w:tc>
          <w:tcPr>
            <w:tcW w:w="141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p>
        </w:tc>
        <w:tc>
          <w:tcPr>
            <w:tcW w:w="1295"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p>
        </w:tc>
      </w:tr>
      <w:tr>
        <w:tblPrEx>
          <w:tblCellMar>
            <w:top w:w="0" w:type="dxa"/>
            <w:left w:w="0" w:type="dxa"/>
            <w:bottom w:w="0" w:type="dxa"/>
            <w:right w:w="0" w:type="dxa"/>
          </w:tblCellMar>
        </w:tblPrEx>
        <w:trPr>
          <w:trHeight w:val="540" w:hRule="atLeast"/>
        </w:trPr>
        <w:tc>
          <w:tcPr>
            <w:tcW w:w="120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路基工程区</w:t>
            </w:r>
          </w:p>
        </w:tc>
        <w:tc>
          <w:tcPr>
            <w:tcW w:w="133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28.02</w:t>
            </w:r>
          </w:p>
        </w:tc>
        <w:tc>
          <w:tcPr>
            <w:tcW w:w="15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2018.6-2020.5</w:t>
            </w:r>
          </w:p>
        </w:tc>
        <w:tc>
          <w:tcPr>
            <w:tcW w:w="10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微度</w:t>
            </w:r>
          </w:p>
        </w:tc>
        <w:tc>
          <w:tcPr>
            <w:tcW w:w="93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2</w:t>
            </w:r>
          </w:p>
        </w:tc>
        <w:tc>
          <w:tcPr>
            <w:tcW w:w="14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 xml:space="preserve">500.00 </w:t>
            </w:r>
          </w:p>
        </w:tc>
        <w:tc>
          <w:tcPr>
            <w:tcW w:w="12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 xml:space="preserve">280.20 </w:t>
            </w:r>
          </w:p>
        </w:tc>
      </w:tr>
      <w:tr>
        <w:tblPrEx>
          <w:tblCellMar>
            <w:top w:w="0" w:type="dxa"/>
            <w:left w:w="0" w:type="dxa"/>
            <w:bottom w:w="0" w:type="dxa"/>
            <w:right w:w="0" w:type="dxa"/>
          </w:tblCellMar>
        </w:tblPrEx>
        <w:trPr>
          <w:trHeight w:val="525" w:hRule="atLeast"/>
        </w:trPr>
        <w:tc>
          <w:tcPr>
            <w:tcW w:w="120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桥梁工程区</w:t>
            </w:r>
          </w:p>
        </w:tc>
        <w:tc>
          <w:tcPr>
            <w:tcW w:w="133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0.02</w:t>
            </w:r>
          </w:p>
        </w:tc>
        <w:tc>
          <w:tcPr>
            <w:tcW w:w="15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2018.6-2020.5</w:t>
            </w:r>
          </w:p>
        </w:tc>
        <w:tc>
          <w:tcPr>
            <w:tcW w:w="10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微度</w:t>
            </w:r>
          </w:p>
        </w:tc>
        <w:tc>
          <w:tcPr>
            <w:tcW w:w="93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2</w:t>
            </w:r>
          </w:p>
        </w:tc>
        <w:tc>
          <w:tcPr>
            <w:tcW w:w="14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 xml:space="preserve">400.00 </w:t>
            </w:r>
          </w:p>
        </w:tc>
        <w:tc>
          <w:tcPr>
            <w:tcW w:w="12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 xml:space="preserve">0.16 </w:t>
            </w:r>
          </w:p>
        </w:tc>
      </w:tr>
      <w:tr>
        <w:tblPrEx>
          <w:tblCellMar>
            <w:top w:w="0" w:type="dxa"/>
            <w:left w:w="0" w:type="dxa"/>
            <w:bottom w:w="0" w:type="dxa"/>
            <w:right w:w="0" w:type="dxa"/>
          </w:tblCellMar>
        </w:tblPrEx>
        <w:trPr>
          <w:trHeight w:val="270" w:hRule="atLeast"/>
        </w:trPr>
        <w:tc>
          <w:tcPr>
            <w:tcW w:w="120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弃渣场区</w:t>
            </w:r>
          </w:p>
        </w:tc>
        <w:tc>
          <w:tcPr>
            <w:tcW w:w="133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3.21</w:t>
            </w:r>
          </w:p>
        </w:tc>
        <w:tc>
          <w:tcPr>
            <w:tcW w:w="15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2018.6-2020.5</w:t>
            </w:r>
          </w:p>
        </w:tc>
        <w:tc>
          <w:tcPr>
            <w:tcW w:w="10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微度</w:t>
            </w:r>
          </w:p>
        </w:tc>
        <w:tc>
          <w:tcPr>
            <w:tcW w:w="93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2</w:t>
            </w:r>
          </w:p>
        </w:tc>
        <w:tc>
          <w:tcPr>
            <w:tcW w:w="14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 xml:space="preserve">675.00 </w:t>
            </w:r>
          </w:p>
        </w:tc>
        <w:tc>
          <w:tcPr>
            <w:tcW w:w="12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 xml:space="preserve">43.34 </w:t>
            </w:r>
          </w:p>
        </w:tc>
      </w:tr>
      <w:tr>
        <w:tblPrEx>
          <w:tblCellMar>
            <w:top w:w="0" w:type="dxa"/>
            <w:left w:w="0" w:type="dxa"/>
            <w:bottom w:w="0" w:type="dxa"/>
            <w:right w:w="0" w:type="dxa"/>
          </w:tblCellMar>
        </w:tblPrEx>
        <w:trPr>
          <w:trHeight w:val="270" w:hRule="atLeast"/>
        </w:trPr>
        <w:tc>
          <w:tcPr>
            <w:tcW w:w="120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取料场区</w:t>
            </w:r>
          </w:p>
        </w:tc>
        <w:tc>
          <w:tcPr>
            <w:tcW w:w="133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2.26</w:t>
            </w:r>
          </w:p>
        </w:tc>
        <w:tc>
          <w:tcPr>
            <w:tcW w:w="15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2018.6-2020.5</w:t>
            </w:r>
          </w:p>
        </w:tc>
        <w:tc>
          <w:tcPr>
            <w:tcW w:w="10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轻度</w:t>
            </w:r>
          </w:p>
        </w:tc>
        <w:tc>
          <w:tcPr>
            <w:tcW w:w="93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2</w:t>
            </w:r>
          </w:p>
        </w:tc>
        <w:tc>
          <w:tcPr>
            <w:tcW w:w="14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 xml:space="preserve">1200.00 </w:t>
            </w:r>
          </w:p>
        </w:tc>
        <w:tc>
          <w:tcPr>
            <w:tcW w:w="12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 xml:space="preserve">54.24 </w:t>
            </w:r>
          </w:p>
        </w:tc>
      </w:tr>
      <w:tr>
        <w:tblPrEx>
          <w:tblCellMar>
            <w:top w:w="0" w:type="dxa"/>
            <w:left w:w="0" w:type="dxa"/>
            <w:bottom w:w="0" w:type="dxa"/>
            <w:right w:w="0" w:type="dxa"/>
          </w:tblCellMar>
        </w:tblPrEx>
        <w:trPr>
          <w:trHeight w:val="270" w:hRule="atLeast"/>
        </w:trPr>
        <w:tc>
          <w:tcPr>
            <w:tcW w:w="120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拌合站区</w:t>
            </w:r>
          </w:p>
        </w:tc>
        <w:tc>
          <w:tcPr>
            <w:tcW w:w="133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0.3</w:t>
            </w:r>
          </w:p>
        </w:tc>
        <w:tc>
          <w:tcPr>
            <w:tcW w:w="15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2018.6-2020.5</w:t>
            </w:r>
          </w:p>
        </w:tc>
        <w:tc>
          <w:tcPr>
            <w:tcW w:w="10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轻度</w:t>
            </w:r>
          </w:p>
        </w:tc>
        <w:tc>
          <w:tcPr>
            <w:tcW w:w="93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2</w:t>
            </w:r>
          </w:p>
        </w:tc>
        <w:tc>
          <w:tcPr>
            <w:tcW w:w="14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 xml:space="preserve">1200.00 </w:t>
            </w:r>
          </w:p>
        </w:tc>
        <w:tc>
          <w:tcPr>
            <w:tcW w:w="12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 xml:space="preserve">7.20 </w:t>
            </w:r>
          </w:p>
        </w:tc>
      </w:tr>
      <w:tr>
        <w:tblPrEx>
          <w:tblCellMar>
            <w:top w:w="0" w:type="dxa"/>
            <w:left w:w="0" w:type="dxa"/>
            <w:bottom w:w="0" w:type="dxa"/>
            <w:right w:w="0" w:type="dxa"/>
          </w:tblCellMar>
        </w:tblPrEx>
        <w:trPr>
          <w:trHeight w:val="270" w:hRule="atLeast"/>
        </w:trPr>
        <w:tc>
          <w:tcPr>
            <w:tcW w:w="120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合计</w:t>
            </w:r>
          </w:p>
        </w:tc>
        <w:tc>
          <w:tcPr>
            <w:tcW w:w="133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33.81</w:t>
            </w:r>
          </w:p>
        </w:tc>
        <w:tc>
          <w:tcPr>
            <w:tcW w:w="158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2018.6-2020.5</w:t>
            </w:r>
          </w:p>
        </w:tc>
        <w:tc>
          <w:tcPr>
            <w:tcW w:w="10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轻度</w:t>
            </w:r>
          </w:p>
        </w:tc>
        <w:tc>
          <w:tcPr>
            <w:tcW w:w="93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2</w:t>
            </w:r>
          </w:p>
        </w:tc>
        <w:tc>
          <w:tcPr>
            <w:tcW w:w="141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 xml:space="preserve">569.56 </w:t>
            </w:r>
          </w:p>
        </w:tc>
        <w:tc>
          <w:tcPr>
            <w:tcW w:w="12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 xml:space="preserve">385.14 </w:t>
            </w:r>
          </w:p>
        </w:tc>
      </w:tr>
    </w:tbl>
    <w:p>
      <w:pPr>
        <w:ind w:left="0" w:leftChars="0" w:firstLine="0" w:firstLineChars="0"/>
        <w:rPr>
          <w:rFonts w:hint="eastAsia"/>
          <w:color w:val="auto"/>
          <w:lang w:val="en-US" w:eastAsia="zh-CN"/>
        </w:rPr>
      </w:pPr>
    </w:p>
    <w:p>
      <w:pPr>
        <w:pStyle w:val="4"/>
        <w:rPr>
          <w:rFonts w:hint="default"/>
          <w:color w:val="auto"/>
        </w:rPr>
      </w:pPr>
      <w:r>
        <w:rPr>
          <w:rFonts w:hint="default"/>
          <w:color w:val="auto"/>
        </w:rPr>
        <w:t>5.2.3自然恢复期土壤流失量</w:t>
      </w:r>
    </w:p>
    <w:p>
      <w:pPr>
        <w:rPr>
          <w:rFonts w:hint="eastAsia"/>
          <w:color w:val="auto"/>
          <w:lang w:val="en-US" w:eastAsia="zh-CN"/>
        </w:rPr>
      </w:pPr>
      <w:r>
        <w:rPr>
          <w:rFonts w:hint="eastAsia"/>
          <w:color w:val="auto"/>
          <w:lang w:eastAsia="zh-CN"/>
        </w:rPr>
        <w:t>本项目施工期间，建设单位严格按照水保方案要求采取并完善水土保持措施，极大减小了项目在自然恢复期的水土流失量。经现场调查，本项目在自然恢复期土壤侵蚀模数为</w:t>
      </w:r>
      <w:r>
        <w:rPr>
          <w:rFonts w:hint="eastAsia"/>
          <w:color w:val="auto"/>
          <w:lang w:val="en-US" w:eastAsia="zh-CN"/>
        </w:rPr>
        <w:t>454.18</w:t>
      </w:r>
      <w:r>
        <w:rPr>
          <w:color w:val="auto"/>
        </w:rPr>
        <w:t>t/k</w:t>
      </w:r>
      <w:r>
        <w:rPr>
          <w:rFonts w:hint="eastAsia"/>
          <w:color w:val="auto"/>
          <w:lang w:eastAsia="zh-CN"/>
        </w:rPr>
        <w:t>m</w:t>
      </w:r>
      <w:r>
        <w:rPr>
          <w:rFonts w:hint="eastAsia"/>
          <w:color w:val="auto"/>
          <w:vertAlign w:val="superscript"/>
          <w:lang w:val="en-US" w:eastAsia="zh-CN"/>
        </w:rPr>
        <w:t>2</w:t>
      </w:r>
      <w:r>
        <w:rPr>
          <w:color w:val="auto"/>
        </w:rPr>
        <w:t>.a</w:t>
      </w:r>
      <w:r>
        <w:rPr>
          <w:rFonts w:hint="eastAsia"/>
          <w:color w:val="auto"/>
          <w:lang w:eastAsia="zh-CN"/>
        </w:rPr>
        <w:t>，及年水土流失量为</w:t>
      </w:r>
      <w:r>
        <w:rPr>
          <w:rFonts w:hint="eastAsia"/>
          <w:color w:val="auto"/>
          <w:lang w:val="en-US" w:eastAsia="zh-CN"/>
        </w:rPr>
        <w:t>76.78t。</w:t>
      </w:r>
      <w:bookmarkStart w:id="148" w:name="_Toc430627103"/>
      <w:bookmarkStart w:id="149" w:name="_Toc433701523"/>
    </w:p>
    <w:p>
      <w:pPr>
        <w:keepNext w:val="0"/>
        <w:keepLines w:val="0"/>
        <w:pageBreakBefore w:val="0"/>
        <w:widowControl w:val="0"/>
        <w:kinsoku/>
        <w:wordWrap/>
        <w:overflowPunct/>
        <w:topLinePunct/>
        <w:autoSpaceDE/>
        <w:autoSpaceDN/>
        <w:bidi w:val="0"/>
        <w:adjustRightInd w:val="0"/>
        <w:snapToGrid w:val="0"/>
        <w:spacing w:before="0" w:beforeLines="0" w:after="0" w:afterLines="0" w:line="240" w:lineRule="auto"/>
        <w:ind w:left="0" w:leftChars="0" w:right="0" w:rightChars="0" w:firstLine="480" w:firstLineChars="200"/>
        <w:jc w:val="center"/>
        <w:textAlignment w:val="auto"/>
        <w:outlineLvl w:val="9"/>
        <w:rPr>
          <w:rFonts w:hint="eastAsia"/>
          <w:color w:val="auto"/>
          <w:lang w:val="en-US" w:eastAsia="zh-CN"/>
        </w:rPr>
      </w:pPr>
      <w:r>
        <w:rPr>
          <w:b w:val="0"/>
          <w:bCs w:val="0"/>
          <w:color w:val="auto"/>
          <w:sz w:val="24"/>
          <w:szCs w:val="24"/>
        </w:rPr>
        <w:t>表 5-</w:t>
      </w:r>
      <w:r>
        <w:rPr>
          <w:rFonts w:hint="eastAsia"/>
          <w:b w:val="0"/>
          <w:bCs w:val="0"/>
          <w:color w:val="auto"/>
          <w:sz w:val="24"/>
          <w:szCs w:val="24"/>
          <w:lang w:val="en-US" w:eastAsia="zh-CN"/>
        </w:rPr>
        <w:t>5</w:t>
      </w:r>
      <w:r>
        <w:rPr>
          <w:b w:val="0"/>
          <w:bCs w:val="0"/>
          <w:color w:val="auto"/>
          <w:sz w:val="24"/>
          <w:szCs w:val="24"/>
        </w:rPr>
        <w:tab/>
      </w:r>
      <w:r>
        <w:rPr>
          <w:color w:val="auto"/>
        </w:rPr>
        <w:t>项目自然恢复期土壤流失量计算表</w:t>
      </w:r>
    </w:p>
    <w:tbl>
      <w:tblPr>
        <w:tblStyle w:val="11"/>
        <w:tblW w:w="88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169"/>
        <w:gridCol w:w="1198"/>
        <w:gridCol w:w="1587"/>
        <w:gridCol w:w="1259"/>
        <w:gridCol w:w="1175"/>
        <w:gridCol w:w="1233"/>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855" w:hRule="atLeast"/>
        </w:trPr>
        <w:tc>
          <w:tcPr>
            <w:tcW w:w="1169" w:type="dxa"/>
            <w:vMerge w:val="restart"/>
            <w:tcBorders>
              <w:tl2br w:val="nil"/>
              <w:tr2bl w:val="nil"/>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项目区</w:t>
            </w:r>
          </w:p>
        </w:tc>
        <w:tc>
          <w:tcPr>
            <w:tcW w:w="1198" w:type="dxa"/>
            <w:vMerge w:val="restart"/>
            <w:tcBorders>
              <w:tl2br w:val="nil"/>
              <w:tr2bl w:val="nil"/>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水土流失面积</w:t>
            </w:r>
          </w:p>
        </w:tc>
        <w:tc>
          <w:tcPr>
            <w:tcW w:w="1587" w:type="dxa"/>
            <w:vMerge w:val="restart"/>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监测时段</w:t>
            </w:r>
          </w:p>
        </w:tc>
        <w:tc>
          <w:tcPr>
            <w:tcW w:w="1259" w:type="dxa"/>
            <w:vMerge w:val="restart"/>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强度级别</w:t>
            </w:r>
          </w:p>
        </w:tc>
        <w:tc>
          <w:tcPr>
            <w:tcW w:w="1175" w:type="dxa"/>
            <w:vMerge w:val="restart"/>
            <w:tcBorders>
              <w:tl2br w:val="nil"/>
              <w:tr2bl w:val="nil"/>
            </w:tcBorders>
            <w:shd w:val="clear" w:color="auto" w:fill="auto"/>
            <w:tcMar>
              <w:top w:w="15" w:type="dxa"/>
              <w:left w:w="15" w:type="dxa"/>
              <w:right w:w="15" w:type="dxa"/>
            </w:tcMar>
            <w:vAlign w:val="center"/>
          </w:tcPr>
          <w:p>
            <w:pPr>
              <w:pStyle w:val="16"/>
              <w:rPr>
                <w:color w:val="auto"/>
              </w:rPr>
            </w:pPr>
            <w:r>
              <w:rPr>
                <w:rFonts w:hint="eastAsia"/>
                <w:color w:val="auto"/>
                <w:lang w:val="en-US" w:eastAsia="zh-CN"/>
              </w:rPr>
              <w:t>侵蚀时间</w:t>
            </w:r>
          </w:p>
        </w:tc>
        <w:tc>
          <w:tcPr>
            <w:tcW w:w="1233" w:type="dxa"/>
            <w:vMerge w:val="restart"/>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 xml:space="preserve">土壤侵蚀模数 </w:t>
            </w:r>
            <w:r>
              <w:rPr>
                <w:rFonts w:hint="default"/>
                <w:color w:val="auto"/>
                <w:lang w:val="en-US" w:eastAsia="zh-CN"/>
              </w:rPr>
              <w:t>t/km</w:t>
            </w:r>
            <w:r>
              <w:rPr>
                <w:rFonts w:hint="eastAsia"/>
                <w:color w:val="auto"/>
                <w:vertAlign w:val="superscript"/>
                <w:lang w:val="en-US" w:eastAsia="zh-CN"/>
              </w:rPr>
              <w:t>2</w:t>
            </w:r>
            <w:r>
              <w:rPr>
                <w:rFonts w:hint="eastAsia"/>
                <w:color w:val="auto"/>
                <w:lang w:val="en-US" w:eastAsia="zh-CN"/>
              </w:rPr>
              <w:t>·</w:t>
            </w:r>
            <w:r>
              <w:rPr>
                <w:rFonts w:hint="default"/>
                <w:color w:val="auto"/>
                <w:lang w:val="en-US" w:eastAsia="zh-CN"/>
              </w:rPr>
              <w:t>a</w:t>
            </w:r>
          </w:p>
        </w:tc>
        <w:tc>
          <w:tcPr>
            <w:tcW w:w="1195" w:type="dxa"/>
            <w:vMerge w:val="restart"/>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土壤流失量（</w:t>
            </w:r>
            <w:r>
              <w:rPr>
                <w:rFonts w:hint="default"/>
                <w:color w:val="auto"/>
                <w:lang w:val="en-US" w:eastAsia="zh-CN"/>
              </w:rPr>
              <w:t>t</w:t>
            </w:r>
            <w:r>
              <w:rPr>
                <w:rFonts w:hint="eastAsia"/>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169" w:type="dxa"/>
            <w:vMerge w:val="continue"/>
            <w:tcBorders>
              <w:tl2br w:val="nil"/>
              <w:tr2bl w:val="nil"/>
            </w:tcBorders>
            <w:shd w:val="clear" w:color="auto" w:fill="auto"/>
            <w:tcMar>
              <w:top w:w="15" w:type="dxa"/>
              <w:left w:w="15" w:type="dxa"/>
              <w:right w:w="15" w:type="dxa"/>
            </w:tcMar>
            <w:vAlign w:val="center"/>
          </w:tcPr>
          <w:p>
            <w:pPr>
              <w:pStyle w:val="16"/>
              <w:rPr>
                <w:rFonts w:hint="default"/>
                <w:color w:val="auto"/>
              </w:rPr>
            </w:pPr>
          </w:p>
        </w:tc>
        <w:tc>
          <w:tcPr>
            <w:tcW w:w="1198" w:type="dxa"/>
            <w:vMerge w:val="continue"/>
            <w:tcBorders>
              <w:tl2br w:val="nil"/>
              <w:tr2bl w:val="nil"/>
            </w:tcBorders>
            <w:shd w:val="clear" w:color="auto" w:fill="auto"/>
            <w:tcMar>
              <w:top w:w="15" w:type="dxa"/>
              <w:left w:w="15" w:type="dxa"/>
              <w:right w:w="15" w:type="dxa"/>
            </w:tcMar>
            <w:vAlign w:val="center"/>
          </w:tcPr>
          <w:p>
            <w:pPr>
              <w:pStyle w:val="16"/>
              <w:rPr>
                <w:rFonts w:hint="default"/>
                <w:color w:val="auto"/>
              </w:rPr>
            </w:pPr>
          </w:p>
        </w:tc>
        <w:tc>
          <w:tcPr>
            <w:tcW w:w="1587" w:type="dxa"/>
            <w:vMerge w:val="continue"/>
            <w:tcBorders>
              <w:tl2br w:val="nil"/>
              <w:tr2bl w:val="nil"/>
            </w:tcBorders>
            <w:shd w:val="clear" w:color="auto" w:fill="auto"/>
            <w:tcMar>
              <w:top w:w="15" w:type="dxa"/>
              <w:left w:w="15" w:type="dxa"/>
              <w:right w:w="15" w:type="dxa"/>
            </w:tcMar>
            <w:vAlign w:val="center"/>
          </w:tcPr>
          <w:p>
            <w:pPr>
              <w:pStyle w:val="16"/>
              <w:rPr>
                <w:rFonts w:hint="eastAsia"/>
                <w:color w:val="auto"/>
              </w:rPr>
            </w:pPr>
          </w:p>
        </w:tc>
        <w:tc>
          <w:tcPr>
            <w:tcW w:w="1259" w:type="dxa"/>
            <w:vMerge w:val="continue"/>
            <w:tcBorders>
              <w:tl2br w:val="nil"/>
              <w:tr2bl w:val="nil"/>
            </w:tcBorders>
            <w:shd w:val="clear" w:color="auto" w:fill="auto"/>
            <w:tcMar>
              <w:top w:w="15" w:type="dxa"/>
              <w:left w:w="15" w:type="dxa"/>
              <w:right w:w="15" w:type="dxa"/>
            </w:tcMar>
            <w:vAlign w:val="center"/>
          </w:tcPr>
          <w:p>
            <w:pPr>
              <w:pStyle w:val="16"/>
              <w:rPr>
                <w:rFonts w:hint="eastAsia"/>
                <w:color w:val="auto"/>
              </w:rPr>
            </w:pPr>
          </w:p>
        </w:tc>
        <w:tc>
          <w:tcPr>
            <w:tcW w:w="1175" w:type="dxa"/>
            <w:vMerge w:val="continue"/>
            <w:tcBorders>
              <w:tl2br w:val="nil"/>
              <w:tr2bl w:val="nil"/>
            </w:tcBorders>
            <w:shd w:val="clear" w:color="auto" w:fill="auto"/>
            <w:tcMar>
              <w:top w:w="15" w:type="dxa"/>
              <w:left w:w="15" w:type="dxa"/>
              <w:right w:w="15" w:type="dxa"/>
            </w:tcMar>
            <w:vAlign w:val="center"/>
          </w:tcPr>
          <w:p>
            <w:pPr>
              <w:pStyle w:val="16"/>
              <w:rPr>
                <w:rFonts w:hint="eastAsia"/>
                <w:color w:val="auto"/>
              </w:rPr>
            </w:pPr>
          </w:p>
        </w:tc>
        <w:tc>
          <w:tcPr>
            <w:tcW w:w="1233" w:type="dxa"/>
            <w:vMerge w:val="continue"/>
            <w:tcBorders>
              <w:tl2br w:val="nil"/>
              <w:tr2bl w:val="nil"/>
            </w:tcBorders>
            <w:shd w:val="clear" w:color="auto" w:fill="auto"/>
            <w:tcMar>
              <w:top w:w="15" w:type="dxa"/>
              <w:left w:w="15" w:type="dxa"/>
              <w:right w:w="15" w:type="dxa"/>
            </w:tcMar>
            <w:vAlign w:val="center"/>
          </w:tcPr>
          <w:p>
            <w:pPr>
              <w:pStyle w:val="16"/>
              <w:rPr>
                <w:rFonts w:hint="eastAsia"/>
                <w:color w:val="auto"/>
              </w:rPr>
            </w:pPr>
          </w:p>
        </w:tc>
        <w:tc>
          <w:tcPr>
            <w:tcW w:w="1195" w:type="dxa"/>
            <w:vMerge w:val="continue"/>
            <w:tcBorders>
              <w:tl2br w:val="nil"/>
              <w:tr2bl w:val="nil"/>
            </w:tcBorders>
            <w:shd w:val="clear" w:color="auto" w:fill="auto"/>
            <w:tcMar>
              <w:top w:w="15" w:type="dxa"/>
              <w:left w:w="15" w:type="dxa"/>
              <w:right w:w="15" w:type="dxa"/>
            </w:tcMar>
            <w:vAlign w:val="center"/>
          </w:tcPr>
          <w:p>
            <w:pPr>
              <w:pStyle w:val="16"/>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1169" w:type="dxa"/>
            <w:tcBorders>
              <w:tl2br w:val="nil"/>
              <w:tr2bl w:val="nil"/>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路基工程区</w:t>
            </w:r>
          </w:p>
        </w:tc>
        <w:tc>
          <w:tcPr>
            <w:tcW w:w="1198"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28.02</w:t>
            </w:r>
          </w:p>
        </w:tc>
        <w:tc>
          <w:tcPr>
            <w:tcW w:w="1587"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2020.6-2020.10</w:t>
            </w:r>
          </w:p>
        </w:tc>
        <w:tc>
          <w:tcPr>
            <w:tcW w:w="1259"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微度</w:t>
            </w:r>
          </w:p>
        </w:tc>
        <w:tc>
          <w:tcPr>
            <w:tcW w:w="1175"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0.5</w:t>
            </w:r>
          </w:p>
        </w:tc>
        <w:tc>
          <w:tcPr>
            <w:tcW w:w="1233"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 xml:space="preserve">400.00 </w:t>
            </w:r>
          </w:p>
        </w:tc>
        <w:tc>
          <w:tcPr>
            <w:tcW w:w="1195"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 xml:space="preserve">56.04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5" w:hRule="atLeast"/>
        </w:trPr>
        <w:tc>
          <w:tcPr>
            <w:tcW w:w="1169" w:type="dxa"/>
            <w:tcBorders>
              <w:tl2br w:val="nil"/>
              <w:tr2bl w:val="nil"/>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桥梁工程区</w:t>
            </w:r>
          </w:p>
        </w:tc>
        <w:tc>
          <w:tcPr>
            <w:tcW w:w="1198"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0.02</w:t>
            </w:r>
          </w:p>
        </w:tc>
        <w:tc>
          <w:tcPr>
            <w:tcW w:w="1587"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2020.6-2020.10</w:t>
            </w:r>
          </w:p>
        </w:tc>
        <w:tc>
          <w:tcPr>
            <w:tcW w:w="1259"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微度</w:t>
            </w:r>
          </w:p>
        </w:tc>
        <w:tc>
          <w:tcPr>
            <w:tcW w:w="1175"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0.5</w:t>
            </w:r>
          </w:p>
        </w:tc>
        <w:tc>
          <w:tcPr>
            <w:tcW w:w="1233"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 xml:space="preserve">400.00 </w:t>
            </w:r>
          </w:p>
        </w:tc>
        <w:tc>
          <w:tcPr>
            <w:tcW w:w="1195"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 xml:space="preserve">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169" w:type="dxa"/>
            <w:tcBorders>
              <w:tl2br w:val="nil"/>
              <w:tr2bl w:val="nil"/>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弃渣场区</w:t>
            </w:r>
          </w:p>
        </w:tc>
        <w:tc>
          <w:tcPr>
            <w:tcW w:w="1198"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3.21</w:t>
            </w:r>
          </w:p>
        </w:tc>
        <w:tc>
          <w:tcPr>
            <w:tcW w:w="1587"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2020.6-2020.10</w:t>
            </w:r>
          </w:p>
        </w:tc>
        <w:tc>
          <w:tcPr>
            <w:tcW w:w="1259"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微度</w:t>
            </w:r>
          </w:p>
        </w:tc>
        <w:tc>
          <w:tcPr>
            <w:tcW w:w="1175"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0.5</w:t>
            </w:r>
          </w:p>
        </w:tc>
        <w:tc>
          <w:tcPr>
            <w:tcW w:w="1233"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 xml:space="preserve">675.00 </w:t>
            </w:r>
          </w:p>
        </w:tc>
        <w:tc>
          <w:tcPr>
            <w:tcW w:w="1195"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 xml:space="preserve">10.83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169" w:type="dxa"/>
            <w:tcBorders>
              <w:tl2br w:val="nil"/>
              <w:tr2bl w:val="nil"/>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取料场区</w:t>
            </w:r>
          </w:p>
        </w:tc>
        <w:tc>
          <w:tcPr>
            <w:tcW w:w="1198"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2.26</w:t>
            </w:r>
          </w:p>
        </w:tc>
        <w:tc>
          <w:tcPr>
            <w:tcW w:w="1587"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2020.6-2020.10</w:t>
            </w:r>
          </w:p>
        </w:tc>
        <w:tc>
          <w:tcPr>
            <w:tcW w:w="1259"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轻度</w:t>
            </w:r>
          </w:p>
        </w:tc>
        <w:tc>
          <w:tcPr>
            <w:tcW w:w="1175"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0.5</w:t>
            </w:r>
          </w:p>
        </w:tc>
        <w:tc>
          <w:tcPr>
            <w:tcW w:w="1233"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 xml:space="preserve">800.00 </w:t>
            </w:r>
          </w:p>
        </w:tc>
        <w:tc>
          <w:tcPr>
            <w:tcW w:w="1195"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 xml:space="preserve">9.04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169" w:type="dxa"/>
            <w:tcBorders>
              <w:tl2br w:val="nil"/>
              <w:tr2bl w:val="nil"/>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拌合站区</w:t>
            </w:r>
          </w:p>
        </w:tc>
        <w:tc>
          <w:tcPr>
            <w:tcW w:w="1198"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0.3</w:t>
            </w:r>
          </w:p>
        </w:tc>
        <w:tc>
          <w:tcPr>
            <w:tcW w:w="1587"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2020.6-2020.10</w:t>
            </w:r>
          </w:p>
        </w:tc>
        <w:tc>
          <w:tcPr>
            <w:tcW w:w="1259"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轻度</w:t>
            </w:r>
          </w:p>
        </w:tc>
        <w:tc>
          <w:tcPr>
            <w:tcW w:w="1175"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0.5</w:t>
            </w:r>
          </w:p>
        </w:tc>
        <w:tc>
          <w:tcPr>
            <w:tcW w:w="1233"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 xml:space="preserve">550.00 </w:t>
            </w:r>
          </w:p>
        </w:tc>
        <w:tc>
          <w:tcPr>
            <w:tcW w:w="1195"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 xml:space="preserve">0.83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169" w:type="dxa"/>
            <w:tcBorders>
              <w:tl2br w:val="nil"/>
              <w:tr2bl w:val="nil"/>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合计</w:t>
            </w:r>
          </w:p>
        </w:tc>
        <w:tc>
          <w:tcPr>
            <w:tcW w:w="1198"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33.81</w:t>
            </w:r>
          </w:p>
        </w:tc>
        <w:tc>
          <w:tcPr>
            <w:tcW w:w="1587"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2020.6-2020.10</w:t>
            </w:r>
          </w:p>
        </w:tc>
        <w:tc>
          <w:tcPr>
            <w:tcW w:w="1259"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轻度</w:t>
            </w:r>
          </w:p>
        </w:tc>
        <w:tc>
          <w:tcPr>
            <w:tcW w:w="1175"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0.5</w:t>
            </w:r>
          </w:p>
        </w:tc>
        <w:tc>
          <w:tcPr>
            <w:tcW w:w="1233"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 xml:space="preserve">454.18 </w:t>
            </w:r>
          </w:p>
        </w:tc>
        <w:tc>
          <w:tcPr>
            <w:tcW w:w="1195" w:type="dxa"/>
            <w:tcBorders>
              <w:tl2br w:val="nil"/>
              <w:tr2bl w:val="nil"/>
            </w:tcBorders>
            <w:shd w:val="clear" w:color="auto" w:fill="auto"/>
            <w:tcMar>
              <w:top w:w="15" w:type="dxa"/>
              <w:left w:w="15" w:type="dxa"/>
              <w:right w:w="15" w:type="dxa"/>
            </w:tcMar>
            <w:vAlign w:val="center"/>
          </w:tcPr>
          <w:p>
            <w:pPr>
              <w:pStyle w:val="16"/>
              <w:rPr>
                <w:rFonts w:hint="eastAsia"/>
                <w:color w:val="auto"/>
              </w:rPr>
            </w:pPr>
            <w:r>
              <w:rPr>
                <w:rFonts w:hint="eastAsia"/>
                <w:color w:val="auto"/>
                <w:lang w:val="en-US" w:eastAsia="zh-CN"/>
              </w:rPr>
              <w:t xml:space="preserve">76.78 </w:t>
            </w:r>
          </w:p>
        </w:tc>
      </w:tr>
    </w:tbl>
    <w:p>
      <w:pPr>
        <w:ind w:left="0" w:leftChars="0" w:firstLine="0" w:firstLineChars="0"/>
        <w:rPr>
          <w:rFonts w:hint="default"/>
          <w:color w:val="auto"/>
          <w:lang w:val="zh-CN" w:eastAsia="zh-CN"/>
        </w:rPr>
      </w:pPr>
    </w:p>
    <w:p>
      <w:pPr>
        <w:pStyle w:val="3"/>
        <w:rPr>
          <w:rFonts w:hint="default"/>
          <w:color w:val="auto"/>
        </w:rPr>
      </w:pPr>
      <w:bookmarkStart w:id="150" w:name="_Toc4742"/>
      <w:r>
        <w:rPr>
          <w:rFonts w:hint="default"/>
          <w:color w:val="auto"/>
        </w:rPr>
        <w:t>5.4水土流失危害</w:t>
      </w:r>
      <w:bookmarkEnd w:id="148"/>
      <w:bookmarkEnd w:id="149"/>
      <w:bookmarkEnd w:id="150"/>
    </w:p>
    <w:p>
      <w:pPr>
        <w:rPr>
          <w:rFonts w:hint="default" w:ascii="Times New Roman" w:hAnsi="Times New Roman" w:eastAsia="仿宋_GB2312" w:cs="Times New Roman"/>
          <w:color w:val="auto"/>
          <w:spacing w:val="0"/>
          <w:sz w:val="24"/>
          <w:szCs w:val="28"/>
        </w:rPr>
      </w:pPr>
      <w:r>
        <w:rPr>
          <w:rFonts w:hint="default" w:ascii="Times New Roman" w:hAnsi="Times New Roman" w:eastAsia="仿宋_GB2312" w:cs="Times New Roman"/>
          <w:color w:val="auto"/>
          <w:spacing w:val="0"/>
          <w:sz w:val="24"/>
        </w:rPr>
        <w:t>根据现场调查</w:t>
      </w:r>
      <w:r>
        <w:rPr>
          <w:rFonts w:hint="default" w:ascii="Times New Roman" w:hAnsi="Times New Roman" w:eastAsia="仿宋_GB2312" w:cs="Times New Roman"/>
          <w:color w:val="auto"/>
          <w:spacing w:val="0"/>
          <w:sz w:val="24"/>
          <w:lang w:val="zh-CN"/>
        </w:rPr>
        <w:t>，本项目在建设过程中，实施了完善的水土流失危害防治措施及应急预案，通过监测人员对项目建设区造成的水土流失对周边农田、乡村道路及植被的危害调查、对周边民房、居民造成的影响状况、水土流失危害趋势以及可能发生灾害现象、造成水土流失对区域生态环境影响状况等的现场调查结果显示，本项目建设期间没有水土流失危害事件的发生。</w:t>
      </w:r>
    </w:p>
    <w:p>
      <w:pPr>
        <w:rPr>
          <w:rFonts w:hint="default"/>
          <w:color w:val="auto"/>
        </w:rPr>
        <w:sectPr>
          <w:headerReference r:id="rId13" w:type="default"/>
          <w:pgSz w:w="11906" w:h="16838"/>
          <w:pgMar w:top="1440" w:right="1418" w:bottom="1440" w:left="1701" w:header="851" w:footer="992" w:gutter="0"/>
          <w:pgBorders>
            <w:top w:val="none" w:sz="0" w:space="0"/>
            <w:left w:val="none" w:sz="0" w:space="0"/>
            <w:bottom w:val="none" w:sz="0" w:space="0"/>
            <w:right w:val="none" w:sz="0" w:space="0"/>
          </w:pgBorders>
          <w:pgNumType w:fmt="decimal"/>
          <w:cols w:space="720" w:num="1"/>
          <w:docGrid w:linePitch="326" w:charSpace="0"/>
        </w:sectPr>
      </w:pPr>
    </w:p>
    <w:p>
      <w:pPr>
        <w:pStyle w:val="2"/>
        <w:rPr>
          <w:rFonts w:hint="default" w:ascii="Times New Roman" w:hAnsi="Times New Roman" w:eastAsia="仿宋_GB2312" w:cs="Times New Roman"/>
          <w:color w:val="auto"/>
          <w:spacing w:val="0"/>
          <w:sz w:val="24"/>
        </w:rPr>
      </w:pPr>
      <w:bookmarkStart w:id="151" w:name="_Toc16266"/>
      <w:r>
        <w:rPr>
          <w:rFonts w:hint="default"/>
          <w:color w:val="auto"/>
        </w:rPr>
        <w:t>6水土流失防治效果监测结果</w:t>
      </w:r>
      <w:bookmarkEnd w:id="145"/>
      <w:bookmarkEnd w:id="146"/>
      <w:bookmarkEnd w:id="147"/>
      <w:bookmarkEnd w:id="151"/>
      <w:r>
        <w:rPr>
          <w:rFonts w:hint="default"/>
          <w:color w:val="auto"/>
        </w:rPr>
        <w:tab/>
      </w:r>
    </w:p>
    <w:p>
      <w:pPr>
        <w:pStyle w:val="3"/>
        <w:rPr>
          <w:rFonts w:hint="default"/>
          <w:color w:val="auto"/>
        </w:rPr>
      </w:pPr>
      <w:bookmarkStart w:id="152" w:name="_Toc371174623"/>
      <w:bookmarkStart w:id="153" w:name="_Toc400529697"/>
      <w:bookmarkStart w:id="154" w:name="_Toc400530798"/>
      <w:bookmarkStart w:id="155" w:name="_Toc3238"/>
      <w:r>
        <w:rPr>
          <w:rFonts w:hint="default"/>
          <w:color w:val="auto"/>
        </w:rPr>
        <w:t>6.1扰动土地整治率</w:t>
      </w:r>
      <w:bookmarkEnd w:id="152"/>
      <w:bookmarkEnd w:id="153"/>
      <w:bookmarkEnd w:id="154"/>
      <w:bookmarkEnd w:id="155"/>
    </w:p>
    <w:p>
      <w:pPr>
        <w:bidi w:val="0"/>
        <w:rPr>
          <w:color w:val="auto"/>
          <w:lang w:eastAsia="zh-CN"/>
        </w:rPr>
      </w:pPr>
      <w:bookmarkStart w:id="156" w:name="_Toc400529698"/>
      <w:bookmarkStart w:id="157" w:name="_Toc371174624"/>
      <w:bookmarkStart w:id="158" w:name="_Toc400530799"/>
      <w:r>
        <w:rPr>
          <w:rFonts w:hint="eastAsia"/>
          <w:color w:val="auto"/>
          <w:lang w:eastAsia="zh-CN"/>
        </w:rPr>
        <w:t>本项目建设区总征占地面积</w:t>
      </w:r>
      <w:r>
        <w:rPr>
          <w:rFonts w:hint="eastAsia"/>
          <w:color w:val="auto"/>
          <w:lang w:val="en-US" w:eastAsia="zh-CN"/>
        </w:rPr>
        <w:t>64.15</w:t>
      </w:r>
      <w:r>
        <w:rPr>
          <w:rFonts w:hint="eastAsia"/>
          <w:color w:val="auto"/>
          <w:lang w:eastAsia="zh-CN"/>
        </w:rPr>
        <w:t>hm</w:t>
      </w:r>
      <w:r>
        <w:rPr>
          <w:rFonts w:hint="eastAsia"/>
          <w:color w:val="auto"/>
          <w:vertAlign w:val="superscript"/>
          <w:lang w:val="en-US" w:eastAsia="zh-CN"/>
        </w:rPr>
        <w:t>2</w:t>
      </w:r>
      <w:r>
        <w:rPr>
          <w:rFonts w:hint="eastAsia"/>
          <w:color w:val="auto"/>
          <w:lang w:eastAsia="zh-CN"/>
        </w:rPr>
        <w:t>，扰动地表治理面积</w:t>
      </w:r>
      <w:r>
        <w:rPr>
          <w:rFonts w:hint="eastAsia"/>
          <w:color w:val="auto"/>
          <w:lang w:val="en-US" w:eastAsia="zh-CN"/>
        </w:rPr>
        <w:t>33.69</w:t>
      </w:r>
      <w:r>
        <w:rPr>
          <w:rFonts w:hint="eastAsia"/>
          <w:color w:val="auto"/>
          <w:lang w:eastAsia="zh-CN"/>
        </w:rPr>
        <w:t>hm</w:t>
      </w:r>
      <w:r>
        <w:rPr>
          <w:rFonts w:hint="eastAsia"/>
          <w:color w:val="auto"/>
          <w:vertAlign w:val="superscript"/>
          <w:lang w:val="en-US" w:eastAsia="zh-CN"/>
        </w:rPr>
        <w:t>2</w:t>
      </w:r>
      <w:r>
        <w:rPr>
          <w:rFonts w:hint="eastAsia"/>
          <w:color w:val="auto"/>
          <w:lang w:eastAsia="zh-CN"/>
        </w:rPr>
        <w:t>（其中工程措施面积</w:t>
      </w:r>
      <w:r>
        <w:rPr>
          <w:rFonts w:hint="eastAsia"/>
          <w:color w:val="auto"/>
          <w:lang w:val="en-US" w:eastAsia="zh-CN"/>
        </w:rPr>
        <w:t>10.61</w:t>
      </w:r>
      <w:r>
        <w:rPr>
          <w:rFonts w:hint="eastAsia"/>
          <w:color w:val="auto"/>
          <w:lang w:eastAsia="zh-CN"/>
        </w:rPr>
        <w:t>hm</w:t>
      </w:r>
      <w:r>
        <w:rPr>
          <w:rFonts w:hint="eastAsia"/>
          <w:color w:val="auto"/>
          <w:vertAlign w:val="superscript"/>
          <w:lang w:val="en-US" w:eastAsia="zh-CN"/>
        </w:rPr>
        <w:t>2</w:t>
      </w:r>
      <w:r>
        <w:rPr>
          <w:rFonts w:hint="eastAsia"/>
          <w:color w:val="auto"/>
          <w:lang w:eastAsia="zh-CN"/>
        </w:rPr>
        <w:t>，植物措施面积</w:t>
      </w:r>
      <w:r>
        <w:rPr>
          <w:rFonts w:hint="eastAsia"/>
          <w:color w:val="auto"/>
          <w:lang w:val="en-US" w:eastAsia="zh-CN"/>
        </w:rPr>
        <w:t>23.08</w:t>
      </w:r>
      <w:r>
        <w:rPr>
          <w:rFonts w:hint="eastAsia"/>
          <w:color w:val="auto"/>
          <w:lang w:eastAsia="zh-CN"/>
        </w:rPr>
        <w:t>hm</w:t>
      </w:r>
      <w:r>
        <w:rPr>
          <w:rFonts w:hint="eastAsia"/>
          <w:color w:val="auto"/>
          <w:vertAlign w:val="superscript"/>
          <w:lang w:val="en-US" w:eastAsia="zh-CN"/>
        </w:rPr>
        <w:t>2</w:t>
      </w:r>
      <w:r>
        <w:rPr>
          <w:rFonts w:hint="eastAsia"/>
          <w:color w:val="auto"/>
          <w:lang w:eastAsia="zh-CN"/>
        </w:rPr>
        <w:t>），永久建筑及硬化面积占地</w:t>
      </w:r>
      <w:r>
        <w:rPr>
          <w:rFonts w:hint="eastAsia"/>
          <w:color w:val="auto"/>
          <w:lang w:val="en-US" w:eastAsia="zh-CN"/>
        </w:rPr>
        <w:t>30.34</w:t>
      </w:r>
      <w:r>
        <w:rPr>
          <w:rFonts w:hint="eastAsia"/>
          <w:color w:val="auto"/>
          <w:lang w:eastAsia="zh-CN"/>
        </w:rPr>
        <w:t>hm</w:t>
      </w:r>
      <w:r>
        <w:rPr>
          <w:rFonts w:hint="eastAsia"/>
          <w:color w:val="auto"/>
          <w:vertAlign w:val="superscript"/>
          <w:lang w:val="en-US" w:eastAsia="zh-CN"/>
        </w:rPr>
        <w:t>2</w:t>
      </w:r>
      <w:r>
        <w:rPr>
          <w:rFonts w:hint="eastAsia"/>
          <w:color w:val="auto"/>
          <w:lang w:eastAsia="zh-CN"/>
        </w:rPr>
        <w:t>，详见表</w:t>
      </w:r>
      <w:r>
        <w:rPr>
          <w:rFonts w:hint="eastAsia"/>
          <w:color w:val="auto"/>
          <w:lang w:val="en-US" w:eastAsia="zh-CN"/>
        </w:rPr>
        <w:t>6</w:t>
      </w:r>
      <w:r>
        <w:rPr>
          <w:rFonts w:hint="eastAsia"/>
          <w:color w:val="auto"/>
          <w:lang w:eastAsia="zh-CN"/>
        </w:rPr>
        <w:t>-1。计算得扰动土地整治率</w:t>
      </w:r>
      <w:r>
        <w:rPr>
          <w:rFonts w:hint="eastAsia"/>
          <w:color w:val="auto"/>
          <w:lang w:val="en-US" w:eastAsia="zh-CN"/>
        </w:rPr>
        <w:t>99.81</w:t>
      </w:r>
      <w:r>
        <w:rPr>
          <w:rFonts w:hint="eastAsia"/>
          <w:color w:val="auto"/>
          <w:lang w:eastAsia="zh-CN"/>
        </w:rPr>
        <w:t>%，计算公式如下：</w:t>
      </w:r>
    </w:p>
    <w:p>
      <w:pPr>
        <w:spacing w:after="156"/>
        <w:ind w:firstLine="0" w:firstLineChars="0"/>
        <w:rPr>
          <w:rStyle w:val="14"/>
          <w:rFonts w:hint="default"/>
          <w:color w:val="auto"/>
        </w:rPr>
      </w:pPr>
      <w:r>
        <w:rPr>
          <w:rFonts w:hint="eastAsia"/>
          <w:color w:val="auto"/>
          <w:position w:val="-26"/>
          <w:highlight w:val="none"/>
          <w:lang w:eastAsia="zh-CN"/>
        </w:rPr>
        <w:object>
          <v:shape id="_x0000_i1026" o:spt="75" type="#_x0000_t75" style="height:29.75pt;width:472.7pt;" o:ole="t" filled="f" o:preferrelative="t" stroked="f" coordsize="21600,21600">
            <v:path/>
            <v:fill on="f" focussize="0,0"/>
            <v:stroke on="f"/>
            <v:imagedata r:id="rId67" o:title=""/>
            <o:lock v:ext="edit" aspectratio="t"/>
            <w10:wrap type="none"/>
            <w10:anchorlock/>
          </v:shape>
          <o:OLEObject Type="Embed" ProgID="Equation.3" ShapeID="_x0000_i1026" DrawAspect="Content" ObjectID="_1468075726" r:id="rId66">
            <o:LockedField>false</o:LockedField>
          </o:OLEObject>
        </w:object>
      </w:r>
      <w:r>
        <w:rPr>
          <w:rStyle w:val="14"/>
          <w:rFonts w:hint="default"/>
          <w:color w:val="auto"/>
        </w:rPr>
        <w:t>6.2水土流失总治理度</w:t>
      </w:r>
      <w:bookmarkEnd w:id="156"/>
      <w:bookmarkEnd w:id="157"/>
      <w:bookmarkEnd w:id="158"/>
    </w:p>
    <w:p>
      <w:pPr>
        <w:bidi w:val="0"/>
        <w:rPr>
          <w:color w:val="auto"/>
          <w:lang w:eastAsia="zh-CN"/>
        </w:rPr>
      </w:pPr>
      <w:bookmarkStart w:id="159" w:name="_Toc400530800"/>
      <w:bookmarkStart w:id="160" w:name="_Toc400529699"/>
      <w:bookmarkStart w:id="161" w:name="_Toc371174625"/>
      <w:r>
        <w:rPr>
          <w:rFonts w:hint="eastAsia"/>
          <w:color w:val="auto"/>
          <w:lang w:eastAsia="zh-CN"/>
        </w:rPr>
        <w:t>本项目建设区总征占地面积</w:t>
      </w:r>
      <w:r>
        <w:rPr>
          <w:rFonts w:hint="eastAsia"/>
          <w:color w:val="auto"/>
          <w:lang w:val="en-US" w:eastAsia="zh-CN"/>
        </w:rPr>
        <w:t>64.15</w:t>
      </w:r>
      <w:r>
        <w:rPr>
          <w:rFonts w:hint="eastAsia"/>
          <w:color w:val="auto"/>
          <w:lang w:eastAsia="zh-CN"/>
        </w:rPr>
        <w:t>hm</w:t>
      </w:r>
      <w:r>
        <w:rPr>
          <w:rFonts w:hint="eastAsia"/>
          <w:color w:val="auto"/>
          <w:vertAlign w:val="superscript"/>
          <w:lang w:val="en-US" w:eastAsia="zh-CN"/>
        </w:rPr>
        <w:t>2</w:t>
      </w:r>
      <w:r>
        <w:rPr>
          <w:rFonts w:hint="eastAsia"/>
          <w:color w:val="auto"/>
          <w:lang w:eastAsia="zh-CN"/>
        </w:rPr>
        <w:t>，扰动地表治理面积</w:t>
      </w:r>
      <w:r>
        <w:rPr>
          <w:rFonts w:hint="eastAsia"/>
          <w:color w:val="auto"/>
          <w:lang w:val="en-US" w:eastAsia="zh-CN"/>
        </w:rPr>
        <w:t>33.69</w:t>
      </w:r>
      <w:r>
        <w:rPr>
          <w:rFonts w:hint="eastAsia"/>
          <w:color w:val="auto"/>
          <w:lang w:eastAsia="zh-CN"/>
        </w:rPr>
        <w:t>hm</w:t>
      </w:r>
      <w:r>
        <w:rPr>
          <w:rFonts w:hint="eastAsia"/>
          <w:color w:val="auto"/>
          <w:vertAlign w:val="superscript"/>
          <w:lang w:val="en-US" w:eastAsia="zh-CN"/>
        </w:rPr>
        <w:t>2</w:t>
      </w:r>
      <w:r>
        <w:rPr>
          <w:rFonts w:hint="eastAsia"/>
          <w:color w:val="auto"/>
          <w:lang w:eastAsia="zh-CN"/>
        </w:rPr>
        <w:t>（其中工程措施面积</w:t>
      </w:r>
      <w:r>
        <w:rPr>
          <w:rFonts w:hint="eastAsia"/>
          <w:color w:val="auto"/>
          <w:lang w:val="en-US" w:eastAsia="zh-CN"/>
        </w:rPr>
        <w:t>10.61</w:t>
      </w:r>
      <w:r>
        <w:rPr>
          <w:rFonts w:hint="eastAsia"/>
          <w:color w:val="auto"/>
          <w:lang w:eastAsia="zh-CN"/>
        </w:rPr>
        <w:t>hm</w:t>
      </w:r>
      <w:r>
        <w:rPr>
          <w:rFonts w:hint="eastAsia"/>
          <w:color w:val="auto"/>
          <w:vertAlign w:val="superscript"/>
          <w:lang w:val="en-US" w:eastAsia="zh-CN"/>
        </w:rPr>
        <w:t>2</w:t>
      </w:r>
      <w:r>
        <w:rPr>
          <w:rFonts w:hint="eastAsia"/>
          <w:color w:val="auto"/>
          <w:lang w:eastAsia="zh-CN"/>
        </w:rPr>
        <w:t>，植物措施面积</w:t>
      </w:r>
      <w:r>
        <w:rPr>
          <w:rFonts w:hint="eastAsia"/>
          <w:color w:val="auto"/>
          <w:lang w:val="en-US" w:eastAsia="zh-CN"/>
        </w:rPr>
        <w:t>23.08</w:t>
      </w:r>
      <w:r>
        <w:rPr>
          <w:rFonts w:hint="eastAsia"/>
          <w:color w:val="auto"/>
          <w:lang w:eastAsia="zh-CN"/>
        </w:rPr>
        <w:t>hm</w:t>
      </w:r>
      <w:r>
        <w:rPr>
          <w:rFonts w:hint="eastAsia"/>
          <w:color w:val="auto"/>
          <w:vertAlign w:val="superscript"/>
          <w:lang w:val="en-US" w:eastAsia="zh-CN"/>
        </w:rPr>
        <w:t>2</w:t>
      </w:r>
      <w:r>
        <w:rPr>
          <w:rFonts w:hint="eastAsia"/>
          <w:color w:val="auto"/>
          <w:lang w:eastAsia="zh-CN"/>
        </w:rPr>
        <w:t>），项目建设共造成水土流失面积</w:t>
      </w:r>
      <w:r>
        <w:rPr>
          <w:rFonts w:hint="eastAsia"/>
          <w:color w:val="auto"/>
          <w:lang w:val="en-US" w:eastAsia="zh-CN"/>
        </w:rPr>
        <w:t>33.81</w:t>
      </w:r>
      <w:r>
        <w:rPr>
          <w:rFonts w:hint="eastAsia"/>
          <w:color w:val="auto"/>
          <w:lang w:eastAsia="zh-CN"/>
        </w:rPr>
        <w:t>hm</w:t>
      </w:r>
      <w:r>
        <w:rPr>
          <w:rFonts w:hint="eastAsia"/>
          <w:color w:val="auto"/>
          <w:vertAlign w:val="superscript"/>
          <w:lang w:val="en-US" w:eastAsia="zh-CN"/>
        </w:rPr>
        <w:t>2</w:t>
      </w:r>
      <w:r>
        <w:rPr>
          <w:rFonts w:hint="eastAsia"/>
          <w:color w:val="auto"/>
          <w:lang w:eastAsia="zh-CN"/>
        </w:rPr>
        <w:t>。计算得水土流失治理度</w:t>
      </w:r>
      <w:r>
        <w:rPr>
          <w:rFonts w:hint="eastAsia"/>
          <w:color w:val="auto"/>
          <w:lang w:val="en-US" w:eastAsia="zh-CN"/>
        </w:rPr>
        <w:t>99.65</w:t>
      </w:r>
      <w:r>
        <w:rPr>
          <w:rFonts w:hint="eastAsia"/>
          <w:color w:val="auto"/>
          <w:lang w:eastAsia="zh-CN"/>
        </w:rPr>
        <w:t>%，计算公式如下：</w:t>
      </w:r>
    </w:p>
    <w:p>
      <w:pPr>
        <w:spacing w:after="156"/>
        <w:ind w:firstLine="0" w:firstLineChars="0"/>
        <w:rPr>
          <w:color w:val="auto"/>
          <w:highlight w:val="none"/>
          <w:lang w:eastAsia="zh-CN"/>
        </w:rPr>
      </w:pPr>
      <w:r>
        <w:rPr>
          <w:rFonts w:hint="eastAsia"/>
          <w:color w:val="auto"/>
          <w:position w:val="-26"/>
          <w:highlight w:val="none"/>
          <w:lang w:eastAsia="zh-CN"/>
        </w:rPr>
        <w:object>
          <v:shape id="_x0000_i1027" o:spt="75" type="#_x0000_t75" style="height:29.85pt;width:407pt;" o:ole="t" filled="f" o:preferrelative="t" stroked="f" coordsize="21600,21600">
            <v:path/>
            <v:fill on="f" focussize="0,0"/>
            <v:stroke on="f"/>
            <v:imagedata r:id="rId69" o:title=""/>
            <o:lock v:ext="edit" aspectratio="t"/>
            <w10:wrap type="none"/>
            <w10:anchorlock/>
          </v:shape>
          <o:OLEObject Type="Embed" ProgID="Equation.3" ShapeID="_x0000_i1027" DrawAspect="Content" ObjectID="_1468075727" r:id="rId68">
            <o:LockedField>false</o:LockedField>
          </o:OLEObject>
        </w:object>
      </w:r>
    </w:p>
    <w:p>
      <w:pPr>
        <w:pStyle w:val="3"/>
        <w:rPr>
          <w:rFonts w:hint="default"/>
          <w:color w:val="auto"/>
        </w:rPr>
      </w:pPr>
      <w:bookmarkStart w:id="162" w:name="_Toc3273"/>
      <w:r>
        <w:rPr>
          <w:rFonts w:hint="default"/>
          <w:color w:val="auto"/>
        </w:rPr>
        <w:t>6.3拦渣率</w:t>
      </w:r>
      <w:bookmarkEnd w:id="159"/>
      <w:bookmarkEnd w:id="160"/>
      <w:bookmarkEnd w:id="161"/>
      <w:bookmarkEnd w:id="162"/>
    </w:p>
    <w:p>
      <w:pPr>
        <w:bidi w:val="0"/>
        <w:rPr>
          <w:color w:val="auto"/>
          <w:highlight w:val="none"/>
        </w:rPr>
      </w:pPr>
      <w:bookmarkStart w:id="163" w:name="_Toc400530801"/>
      <w:bookmarkStart w:id="164" w:name="_Toc400529700"/>
      <w:bookmarkStart w:id="165" w:name="_Toc371174626"/>
      <w:r>
        <w:rPr>
          <w:rFonts w:hint="eastAsia"/>
          <w:color w:val="auto"/>
        </w:rPr>
        <w:t>经建设单位</w:t>
      </w:r>
      <w:r>
        <w:rPr>
          <w:color w:val="auto"/>
        </w:rPr>
        <w:t>提供资料</w:t>
      </w:r>
      <w:r>
        <w:rPr>
          <w:rFonts w:hint="eastAsia"/>
          <w:color w:val="auto"/>
        </w:rPr>
        <w:t>，本项目实际开挖土石方量</w:t>
      </w:r>
      <w:r>
        <w:rPr>
          <w:rFonts w:hint="eastAsia"/>
          <w:color w:val="auto"/>
          <w:lang w:val="en-US" w:eastAsia="zh-CN"/>
        </w:rPr>
        <w:t>78.85</w:t>
      </w:r>
      <w:r>
        <w:rPr>
          <w:rFonts w:hint="eastAsia"/>
          <w:color w:val="auto"/>
        </w:rPr>
        <w:t>万方m</w:t>
      </w:r>
      <w:r>
        <w:rPr>
          <w:rFonts w:hint="eastAsia"/>
          <w:color w:val="auto"/>
          <w:vertAlign w:val="superscript"/>
        </w:rPr>
        <w:t>3</w:t>
      </w:r>
      <w:r>
        <w:rPr>
          <w:rFonts w:hint="eastAsia"/>
          <w:color w:val="auto"/>
        </w:rPr>
        <w:t>（石方</w:t>
      </w:r>
      <w:r>
        <w:rPr>
          <w:color w:val="auto"/>
        </w:rPr>
        <w:t>42.15</w:t>
      </w:r>
      <w:r>
        <w:rPr>
          <w:rFonts w:hint="eastAsia"/>
          <w:color w:val="auto"/>
        </w:rPr>
        <w:t>万m</w:t>
      </w:r>
      <w:r>
        <w:rPr>
          <w:rFonts w:hint="eastAsia"/>
          <w:color w:val="auto"/>
          <w:vertAlign w:val="superscript"/>
        </w:rPr>
        <w:t>3</w:t>
      </w:r>
      <w:r>
        <w:rPr>
          <w:rFonts w:hint="eastAsia"/>
          <w:color w:val="auto"/>
        </w:rPr>
        <w:t>，土方</w:t>
      </w:r>
      <w:r>
        <w:rPr>
          <w:color w:val="auto"/>
        </w:rPr>
        <w:t>29.58</w:t>
      </w:r>
      <w:r>
        <w:rPr>
          <w:rFonts w:hint="eastAsia"/>
          <w:color w:val="auto"/>
        </w:rPr>
        <w:t>万m</w:t>
      </w:r>
      <w:r>
        <w:rPr>
          <w:rFonts w:hint="eastAsia"/>
          <w:color w:val="auto"/>
          <w:vertAlign w:val="superscript"/>
        </w:rPr>
        <w:t>3</w:t>
      </w:r>
      <w:r>
        <w:rPr>
          <w:rFonts w:hint="eastAsia"/>
          <w:color w:val="auto"/>
        </w:rPr>
        <w:t>，表土</w:t>
      </w:r>
      <w:r>
        <w:rPr>
          <w:color w:val="auto"/>
        </w:rPr>
        <w:t>0.61</w:t>
      </w:r>
      <w:r>
        <w:rPr>
          <w:rFonts w:hint="eastAsia"/>
          <w:color w:val="auto"/>
        </w:rPr>
        <w:t>万m</w:t>
      </w:r>
      <w:r>
        <w:rPr>
          <w:rFonts w:hint="eastAsia"/>
          <w:color w:val="auto"/>
          <w:vertAlign w:val="superscript"/>
        </w:rPr>
        <w:t>3</w:t>
      </w:r>
      <w:r>
        <w:rPr>
          <w:rFonts w:hint="eastAsia"/>
          <w:color w:val="auto"/>
        </w:rPr>
        <w:t>，建筑垃圾</w:t>
      </w:r>
      <w:r>
        <w:rPr>
          <w:color w:val="auto"/>
        </w:rPr>
        <w:t>0.72</w:t>
      </w:r>
      <w:r>
        <w:rPr>
          <w:rFonts w:hint="eastAsia"/>
          <w:color w:val="auto"/>
        </w:rPr>
        <w:t>万m</w:t>
      </w:r>
      <w:r>
        <w:rPr>
          <w:rFonts w:hint="eastAsia"/>
          <w:color w:val="auto"/>
          <w:vertAlign w:val="superscript"/>
        </w:rPr>
        <w:t>3</w:t>
      </w:r>
      <w:r>
        <w:rPr>
          <w:rFonts w:hint="eastAsia"/>
          <w:color w:val="auto"/>
        </w:rPr>
        <w:t>），回填土石方量</w:t>
      </w:r>
      <w:r>
        <w:rPr>
          <w:rFonts w:hint="eastAsia"/>
          <w:color w:val="auto"/>
          <w:lang w:val="en-US" w:eastAsia="zh-CN"/>
        </w:rPr>
        <w:t>32.45万</w:t>
      </w:r>
      <w:r>
        <w:rPr>
          <w:rFonts w:hint="eastAsia"/>
          <w:color w:val="auto"/>
        </w:rPr>
        <w:t>m</w:t>
      </w:r>
      <w:r>
        <w:rPr>
          <w:rFonts w:hint="eastAsia"/>
          <w:color w:val="auto"/>
          <w:vertAlign w:val="superscript"/>
        </w:rPr>
        <w:t>3</w:t>
      </w:r>
      <w:r>
        <w:rPr>
          <w:rFonts w:hint="eastAsia"/>
          <w:color w:val="auto"/>
        </w:rPr>
        <w:t>（石方</w:t>
      </w:r>
      <w:r>
        <w:rPr>
          <w:rFonts w:hint="eastAsia"/>
          <w:color w:val="auto"/>
          <w:lang w:val="en-US" w:eastAsia="zh-CN"/>
        </w:rPr>
        <w:t>10</w:t>
      </w:r>
      <w:r>
        <w:rPr>
          <w:color w:val="auto"/>
        </w:rPr>
        <w:t>.</w:t>
      </w:r>
      <w:r>
        <w:rPr>
          <w:rFonts w:hint="eastAsia"/>
          <w:color w:val="auto"/>
          <w:lang w:val="en-US" w:eastAsia="zh-CN"/>
        </w:rPr>
        <w:t>9</w:t>
      </w:r>
      <w:r>
        <w:rPr>
          <w:color w:val="auto"/>
        </w:rPr>
        <w:t>3</w:t>
      </w:r>
      <w:r>
        <w:rPr>
          <w:rFonts w:hint="eastAsia"/>
          <w:color w:val="auto"/>
        </w:rPr>
        <w:t>万m</w:t>
      </w:r>
      <w:r>
        <w:rPr>
          <w:rFonts w:hint="eastAsia"/>
          <w:color w:val="auto"/>
          <w:vertAlign w:val="superscript"/>
        </w:rPr>
        <w:t>3</w:t>
      </w:r>
      <w:r>
        <w:rPr>
          <w:rFonts w:hint="eastAsia"/>
          <w:color w:val="auto"/>
        </w:rPr>
        <w:t>，土方</w:t>
      </w:r>
      <w:r>
        <w:rPr>
          <w:rFonts w:hint="eastAsia"/>
          <w:color w:val="auto"/>
          <w:lang w:val="en-US" w:eastAsia="zh-CN"/>
        </w:rPr>
        <w:t>20</w:t>
      </w:r>
      <w:r>
        <w:rPr>
          <w:color w:val="auto"/>
        </w:rPr>
        <w:t>.91</w:t>
      </w:r>
      <w:r>
        <w:rPr>
          <w:rFonts w:hint="eastAsia"/>
          <w:color w:val="auto"/>
        </w:rPr>
        <w:t>万m</w:t>
      </w:r>
      <w:r>
        <w:rPr>
          <w:rFonts w:hint="eastAsia"/>
          <w:color w:val="auto"/>
          <w:vertAlign w:val="superscript"/>
        </w:rPr>
        <w:t>3</w:t>
      </w:r>
      <w:r>
        <w:rPr>
          <w:rFonts w:hint="eastAsia"/>
          <w:color w:val="auto"/>
        </w:rPr>
        <w:t>，表土</w:t>
      </w:r>
      <w:r>
        <w:rPr>
          <w:color w:val="auto"/>
        </w:rPr>
        <w:t>0.61</w:t>
      </w:r>
      <w:r>
        <w:rPr>
          <w:rFonts w:hint="eastAsia"/>
          <w:color w:val="auto"/>
        </w:rPr>
        <w:t>万m</w:t>
      </w:r>
      <w:r>
        <w:rPr>
          <w:rFonts w:hint="eastAsia"/>
          <w:color w:val="auto"/>
          <w:vertAlign w:val="superscript"/>
        </w:rPr>
        <w:t>3</w:t>
      </w:r>
      <w:r>
        <w:rPr>
          <w:rFonts w:hint="eastAsia"/>
          <w:color w:val="auto"/>
        </w:rPr>
        <w:t>），</w:t>
      </w:r>
      <w:r>
        <w:rPr>
          <w:rFonts w:hint="eastAsia"/>
          <w:color w:val="auto"/>
          <w:lang w:eastAsia="zh-CN"/>
        </w:rPr>
        <w:t>外借</w:t>
      </w:r>
      <w:r>
        <w:rPr>
          <w:rFonts w:hint="eastAsia"/>
          <w:color w:val="auto"/>
          <w:lang w:val="en-US" w:eastAsia="zh-CN"/>
        </w:rPr>
        <w:t>8.90万</w:t>
      </w:r>
      <w:r>
        <w:rPr>
          <w:rFonts w:hint="eastAsia"/>
          <w:color w:val="auto"/>
        </w:rPr>
        <w:t>m</w:t>
      </w:r>
      <w:r>
        <w:rPr>
          <w:rFonts w:hint="eastAsia"/>
          <w:color w:val="auto"/>
          <w:vertAlign w:val="superscript"/>
        </w:rPr>
        <w:t>3</w:t>
      </w:r>
      <w:r>
        <w:rPr>
          <w:rFonts w:hint="eastAsia"/>
          <w:color w:val="auto"/>
          <w:vertAlign w:val="baseline"/>
          <w:lang w:eastAsia="zh-CN"/>
        </w:rPr>
        <w:t>，</w:t>
      </w:r>
      <w:r>
        <w:rPr>
          <w:rFonts w:hint="eastAsia"/>
          <w:color w:val="auto"/>
        </w:rPr>
        <w:t>废弃土石方量</w:t>
      </w:r>
      <w:r>
        <w:rPr>
          <w:rFonts w:hint="eastAsia"/>
          <w:color w:val="auto"/>
          <w:lang w:val="en-US" w:eastAsia="zh-CN"/>
        </w:rPr>
        <w:t>55.30</w:t>
      </w:r>
      <w:r>
        <w:rPr>
          <w:rFonts w:hint="eastAsia"/>
          <w:color w:val="auto"/>
        </w:rPr>
        <w:t>万m</w:t>
      </w:r>
      <w:r>
        <w:rPr>
          <w:rFonts w:hint="eastAsia"/>
          <w:color w:val="auto"/>
          <w:vertAlign w:val="superscript"/>
        </w:rPr>
        <w:t>3</w:t>
      </w:r>
      <w:r>
        <w:rPr>
          <w:rFonts w:hint="eastAsia"/>
          <w:color w:val="auto"/>
        </w:rPr>
        <w:t>（石方</w:t>
      </w:r>
      <w:r>
        <w:rPr>
          <w:color w:val="auto"/>
        </w:rPr>
        <w:t>36.12</w:t>
      </w:r>
      <w:r>
        <w:rPr>
          <w:rFonts w:hint="eastAsia"/>
          <w:color w:val="auto"/>
        </w:rPr>
        <w:t>万m</w:t>
      </w:r>
      <w:r>
        <w:rPr>
          <w:rFonts w:hint="eastAsia"/>
          <w:color w:val="auto"/>
          <w:vertAlign w:val="superscript"/>
        </w:rPr>
        <w:t>3</w:t>
      </w:r>
      <w:r>
        <w:rPr>
          <w:rFonts w:hint="eastAsia"/>
          <w:color w:val="auto"/>
        </w:rPr>
        <w:t>，土方</w:t>
      </w:r>
      <w:r>
        <w:rPr>
          <w:color w:val="auto"/>
        </w:rPr>
        <w:t>12.66</w:t>
      </w:r>
      <w:r>
        <w:rPr>
          <w:rFonts w:hint="eastAsia"/>
          <w:color w:val="auto"/>
        </w:rPr>
        <w:t>万m</w:t>
      </w:r>
      <w:r>
        <w:rPr>
          <w:rFonts w:hint="eastAsia"/>
          <w:color w:val="auto"/>
          <w:vertAlign w:val="superscript"/>
        </w:rPr>
        <w:t>3</w:t>
      </w:r>
      <w:r>
        <w:rPr>
          <w:rFonts w:hint="eastAsia"/>
          <w:color w:val="auto"/>
        </w:rPr>
        <w:t>，建筑垃圾</w:t>
      </w:r>
      <w:r>
        <w:rPr>
          <w:color w:val="auto"/>
        </w:rPr>
        <w:t>0.72</w:t>
      </w:r>
      <w:r>
        <w:rPr>
          <w:rFonts w:hint="eastAsia"/>
          <w:color w:val="auto"/>
        </w:rPr>
        <w:t>万m</w:t>
      </w:r>
      <w:r>
        <w:rPr>
          <w:rFonts w:hint="eastAsia"/>
          <w:color w:val="auto"/>
          <w:vertAlign w:val="superscript"/>
        </w:rPr>
        <w:t>3</w:t>
      </w:r>
      <w:r>
        <w:rPr>
          <w:rFonts w:hint="eastAsia"/>
          <w:color w:val="auto"/>
        </w:rPr>
        <w:t>），废弃方中有取料场区开挖的石方约23万m</w:t>
      </w:r>
      <w:r>
        <w:rPr>
          <w:rFonts w:hint="eastAsia"/>
          <w:color w:val="auto"/>
          <w:vertAlign w:val="superscript"/>
        </w:rPr>
        <w:t>3</w:t>
      </w:r>
      <w:r>
        <w:rPr>
          <w:rFonts w:hint="eastAsia"/>
          <w:color w:val="auto"/>
        </w:rPr>
        <w:t>，用于边坡挡墙、道路边沟及挡渣墙等制作。</w:t>
      </w:r>
      <w:r>
        <w:rPr>
          <w:rFonts w:hint="eastAsia"/>
          <w:color w:val="auto"/>
          <w:vertAlign w:val="baseline"/>
          <w:lang w:val="en-US" w:eastAsia="zh-CN"/>
        </w:rPr>
        <w:t>经</w:t>
      </w:r>
      <w:r>
        <w:rPr>
          <w:color w:val="auto"/>
          <w:lang w:eastAsia="zh-CN"/>
        </w:rPr>
        <w:t>计算得拦渣率为</w:t>
      </w:r>
      <w:r>
        <w:rPr>
          <w:rFonts w:hint="eastAsia"/>
          <w:color w:val="auto"/>
          <w:lang w:val="en-US" w:eastAsia="zh-CN"/>
        </w:rPr>
        <w:t>99</w:t>
      </w:r>
      <w:r>
        <w:rPr>
          <w:color w:val="auto"/>
          <w:lang w:eastAsia="zh-CN"/>
        </w:rPr>
        <w:t>%。</w:t>
      </w:r>
    </w:p>
    <w:p>
      <w:pPr>
        <w:pStyle w:val="3"/>
        <w:rPr>
          <w:rFonts w:hint="default"/>
          <w:color w:val="auto"/>
        </w:rPr>
      </w:pPr>
      <w:bookmarkStart w:id="166" w:name="_Toc27177"/>
      <w:r>
        <w:rPr>
          <w:rFonts w:hint="default"/>
          <w:color w:val="auto"/>
        </w:rPr>
        <w:t>6.4土壤流失控制比</w:t>
      </w:r>
      <w:bookmarkEnd w:id="163"/>
      <w:bookmarkEnd w:id="164"/>
      <w:bookmarkEnd w:id="165"/>
      <w:bookmarkEnd w:id="166"/>
    </w:p>
    <w:p>
      <w:pPr>
        <w:spacing w:after="156"/>
        <w:ind w:firstLine="480"/>
        <w:rPr>
          <w:color w:val="auto"/>
          <w:highlight w:val="none"/>
        </w:rPr>
      </w:pPr>
      <w:bookmarkStart w:id="167" w:name="_Toc400530802"/>
      <w:bookmarkStart w:id="168" w:name="_Toc371174627"/>
      <w:bookmarkStart w:id="169" w:name="_Toc400529701"/>
      <w:r>
        <w:rPr>
          <w:color w:val="auto"/>
          <w:highlight w:val="none"/>
          <w:lang w:eastAsia="zh-CN"/>
        </w:rPr>
        <w:t>本项目位于贵州省</w:t>
      </w:r>
      <w:r>
        <w:rPr>
          <w:rFonts w:hint="eastAsia"/>
          <w:color w:val="auto"/>
          <w:spacing w:val="-2"/>
          <w:szCs w:val="28"/>
        </w:rPr>
        <w:t>重点治理区</w:t>
      </w:r>
      <w:r>
        <w:rPr>
          <w:color w:val="auto"/>
          <w:highlight w:val="none"/>
          <w:lang w:eastAsia="zh-CN"/>
        </w:rPr>
        <w:t>，容许侵蚀模数为500t/k</w:t>
      </w:r>
      <w:r>
        <w:rPr>
          <w:rFonts w:hint="eastAsia"/>
          <w:color w:val="auto"/>
          <w:highlight w:val="none"/>
          <w:lang w:eastAsia="zh-CN"/>
        </w:rPr>
        <w:t>m</w:t>
      </w:r>
      <w:r>
        <w:rPr>
          <w:rFonts w:hint="eastAsia"/>
          <w:color w:val="auto"/>
          <w:highlight w:val="none"/>
          <w:vertAlign w:val="superscript"/>
          <w:lang w:val="en-US" w:eastAsia="zh-CN"/>
        </w:rPr>
        <w:t>2</w:t>
      </w:r>
      <w:r>
        <w:rPr>
          <w:rFonts w:hint="eastAsia"/>
          <w:color w:val="auto"/>
          <w:highlight w:val="none"/>
          <w:lang w:eastAsia="zh-CN"/>
        </w:rPr>
        <w:t>·</w:t>
      </w:r>
      <w:r>
        <w:rPr>
          <w:color w:val="auto"/>
          <w:highlight w:val="none"/>
          <w:lang w:eastAsia="zh-CN"/>
        </w:rPr>
        <w:t>a，项目建设区占地面积</w:t>
      </w:r>
      <w:r>
        <w:rPr>
          <w:rFonts w:hint="eastAsia"/>
          <w:color w:val="auto"/>
          <w:highlight w:val="none"/>
          <w:lang w:val="en-US" w:eastAsia="zh-CN"/>
        </w:rPr>
        <w:t>64.15</w:t>
      </w:r>
      <w:r>
        <w:rPr>
          <w:color w:val="auto"/>
          <w:highlight w:val="none"/>
          <w:lang w:eastAsia="zh-CN"/>
        </w:rPr>
        <w:t>h</w:t>
      </w:r>
      <w:r>
        <w:rPr>
          <w:rFonts w:hint="eastAsia"/>
          <w:color w:val="auto"/>
          <w:highlight w:val="none"/>
          <w:lang w:eastAsia="zh-CN"/>
        </w:rPr>
        <w:t>m</w:t>
      </w:r>
      <w:r>
        <w:rPr>
          <w:rFonts w:hint="eastAsia"/>
          <w:color w:val="auto"/>
          <w:highlight w:val="none"/>
          <w:vertAlign w:val="superscript"/>
          <w:lang w:val="en-US" w:eastAsia="zh-CN"/>
        </w:rPr>
        <w:t>2</w:t>
      </w:r>
      <w:r>
        <w:rPr>
          <w:color w:val="auto"/>
          <w:highlight w:val="none"/>
          <w:lang w:eastAsia="zh-CN"/>
        </w:rPr>
        <w:t>，监测结果显示，指标评价区域内现状侵蚀模</w:t>
      </w:r>
      <w:r>
        <w:rPr>
          <w:rFonts w:hint="eastAsia"/>
          <w:color w:val="auto"/>
          <w:highlight w:val="none"/>
          <w:lang w:val="en-US" w:eastAsia="zh-CN"/>
        </w:rPr>
        <w:t>454.18</w:t>
      </w:r>
      <w:r>
        <w:rPr>
          <w:color w:val="auto"/>
          <w:highlight w:val="none"/>
          <w:lang w:eastAsia="zh-CN"/>
        </w:rPr>
        <w:t>t/k</w:t>
      </w:r>
      <w:r>
        <w:rPr>
          <w:rFonts w:hint="eastAsia"/>
          <w:color w:val="auto"/>
          <w:highlight w:val="none"/>
          <w:lang w:eastAsia="zh-CN"/>
        </w:rPr>
        <w:t>m</w:t>
      </w:r>
      <w:r>
        <w:rPr>
          <w:rFonts w:hint="eastAsia"/>
          <w:color w:val="auto"/>
          <w:highlight w:val="none"/>
          <w:vertAlign w:val="superscript"/>
          <w:lang w:val="en-US" w:eastAsia="zh-CN"/>
        </w:rPr>
        <w:t>2</w:t>
      </w:r>
      <w:r>
        <w:rPr>
          <w:rFonts w:hint="eastAsia"/>
          <w:color w:val="auto"/>
          <w:highlight w:val="none"/>
          <w:lang w:eastAsia="zh-CN"/>
        </w:rPr>
        <w:t>·</w:t>
      </w:r>
      <w:r>
        <w:rPr>
          <w:color w:val="auto"/>
          <w:highlight w:val="none"/>
          <w:lang w:eastAsia="zh-CN"/>
        </w:rPr>
        <w:t>a。计算得</w:t>
      </w:r>
      <w:r>
        <w:rPr>
          <w:rFonts w:hint="eastAsia"/>
          <w:color w:val="auto"/>
          <w:highlight w:val="none"/>
          <w:lang w:eastAsia="zh-CN"/>
        </w:rPr>
        <w:t>土壤流失控制比</w:t>
      </w:r>
      <w:r>
        <w:rPr>
          <w:color w:val="auto"/>
          <w:highlight w:val="none"/>
          <w:lang w:eastAsia="zh-CN"/>
        </w:rPr>
        <w:t>为</w:t>
      </w:r>
      <w:r>
        <w:rPr>
          <w:rFonts w:hint="eastAsia"/>
          <w:color w:val="auto"/>
          <w:highlight w:val="none"/>
          <w:lang w:val="en-US" w:eastAsia="zh-CN"/>
        </w:rPr>
        <w:t>1.10</w:t>
      </w:r>
      <w:r>
        <w:rPr>
          <w:rFonts w:hint="eastAsia"/>
          <w:color w:val="auto"/>
          <w:highlight w:val="none"/>
          <w:lang w:eastAsia="zh-CN"/>
        </w:rPr>
        <w:t>，</w:t>
      </w:r>
      <w:r>
        <w:rPr>
          <w:color w:val="auto"/>
          <w:highlight w:val="none"/>
          <w:lang w:eastAsia="zh-CN"/>
        </w:rPr>
        <w:t xml:space="preserve">计算公式如下： </w:t>
      </w:r>
    </w:p>
    <w:p>
      <w:pPr>
        <w:spacing w:after="156"/>
        <w:ind w:firstLine="0" w:firstLineChars="0"/>
        <w:jc w:val="center"/>
        <w:rPr>
          <w:rFonts w:eastAsia="宋体"/>
          <w:color w:val="auto"/>
          <w:position w:val="-26"/>
          <w:szCs w:val="28"/>
          <w:highlight w:val="none"/>
        </w:rPr>
      </w:pPr>
      <w:r>
        <w:rPr>
          <w:rFonts w:eastAsia="宋体"/>
          <w:color w:val="auto"/>
          <w:position w:val="-26"/>
          <w:szCs w:val="28"/>
          <w:highlight w:val="none"/>
        </w:rPr>
        <w:object>
          <v:shape id="_x0000_i1028" o:spt="75" type="#_x0000_t75" style="height:28.35pt;width:271.9pt;" o:ole="t" filled="f" o:preferrelative="t" stroked="f" coordsize="21600,21600">
            <v:path/>
            <v:fill on="f" focussize="0,0"/>
            <v:stroke on="f"/>
            <v:imagedata r:id="rId71" o:title=""/>
            <o:lock v:ext="edit" aspectratio="t"/>
            <w10:wrap type="none"/>
            <w10:anchorlock/>
          </v:shape>
          <o:OLEObject Type="Embed" ProgID="Equation.3" ShapeID="_x0000_i1028" DrawAspect="Content" ObjectID="_1468075728" r:id="rId70">
            <o:LockedField>false</o:LockedField>
          </o:OLEObject>
        </w:object>
      </w:r>
    </w:p>
    <w:p>
      <w:pPr>
        <w:pStyle w:val="3"/>
        <w:rPr>
          <w:rFonts w:hint="default"/>
          <w:color w:val="auto"/>
        </w:rPr>
      </w:pPr>
      <w:bookmarkStart w:id="170" w:name="_Toc15387"/>
      <w:r>
        <w:rPr>
          <w:rFonts w:hint="default"/>
          <w:color w:val="auto"/>
        </w:rPr>
        <w:t>6.5林草植被恢复率</w:t>
      </w:r>
      <w:bookmarkEnd w:id="167"/>
      <w:bookmarkEnd w:id="168"/>
      <w:bookmarkEnd w:id="169"/>
      <w:bookmarkEnd w:id="170"/>
    </w:p>
    <w:p>
      <w:pPr>
        <w:bidi w:val="0"/>
        <w:rPr>
          <w:color w:val="auto"/>
          <w:lang w:eastAsia="zh-CN"/>
        </w:rPr>
      </w:pPr>
      <w:bookmarkStart w:id="171" w:name="_Toc400529702"/>
      <w:bookmarkStart w:id="172" w:name="_Toc400530803"/>
      <w:bookmarkStart w:id="173" w:name="_Toc371174628"/>
      <w:r>
        <w:rPr>
          <w:rFonts w:hint="eastAsia"/>
          <w:color w:val="auto"/>
          <w:lang w:eastAsia="zh-CN"/>
        </w:rPr>
        <w:t>本项目建设区扰动地表占地面积</w:t>
      </w:r>
      <w:r>
        <w:rPr>
          <w:rFonts w:hint="eastAsia"/>
          <w:color w:val="auto"/>
          <w:lang w:val="en-US" w:eastAsia="zh-CN"/>
        </w:rPr>
        <w:t>64.15</w:t>
      </w:r>
      <w:r>
        <w:rPr>
          <w:rFonts w:hint="eastAsia"/>
          <w:color w:val="auto"/>
          <w:lang w:eastAsia="zh-CN"/>
        </w:rPr>
        <w:t>hm</w:t>
      </w:r>
      <w:r>
        <w:rPr>
          <w:rFonts w:hint="eastAsia"/>
          <w:color w:val="auto"/>
          <w:vertAlign w:val="superscript"/>
          <w:lang w:val="en-US" w:eastAsia="zh-CN"/>
        </w:rPr>
        <w:t>2</w:t>
      </w:r>
      <w:r>
        <w:rPr>
          <w:rFonts w:hint="eastAsia"/>
          <w:color w:val="auto"/>
          <w:lang w:eastAsia="zh-CN"/>
        </w:rPr>
        <w:t>，项目建设区内可恢复林草面积</w:t>
      </w:r>
      <w:r>
        <w:rPr>
          <w:rFonts w:hint="eastAsia"/>
          <w:color w:val="auto"/>
          <w:lang w:val="en-US" w:eastAsia="zh-CN"/>
        </w:rPr>
        <w:t>23.2</w:t>
      </w:r>
      <w:r>
        <w:rPr>
          <w:rFonts w:hint="eastAsia"/>
          <w:color w:val="auto"/>
          <w:lang w:eastAsia="zh-CN"/>
        </w:rPr>
        <w:t>hm</w:t>
      </w:r>
      <w:r>
        <w:rPr>
          <w:rFonts w:hint="eastAsia"/>
          <w:color w:val="auto"/>
          <w:vertAlign w:val="superscript"/>
          <w:lang w:val="en-US" w:eastAsia="zh-CN"/>
        </w:rPr>
        <w:t>2</w:t>
      </w:r>
      <w:r>
        <w:rPr>
          <w:rFonts w:hint="eastAsia"/>
          <w:color w:val="auto"/>
          <w:lang w:eastAsia="zh-CN"/>
        </w:rPr>
        <w:t>，已实施的植物措施面积</w:t>
      </w:r>
      <w:r>
        <w:rPr>
          <w:rFonts w:hint="eastAsia"/>
          <w:color w:val="auto"/>
          <w:lang w:val="en-US" w:eastAsia="zh-CN"/>
        </w:rPr>
        <w:t>23.08</w:t>
      </w:r>
      <w:r>
        <w:rPr>
          <w:rFonts w:hint="eastAsia"/>
          <w:color w:val="auto"/>
          <w:lang w:eastAsia="zh-CN"/>
        </w:rPr>
        <w:t>hm</w:t>
      </w:r>
      <w:r>
        <w:rPr>
          <w:rFonts w:hint="eastAsia"/>
          <w:color w:val="auto"/>
          <w:vertAlign w:val="superscript"/>
          <w:lang w:val="en-US" w:eastAsia="zh-CN"/>
        </w:rPr>
        <w:t>2</w:t>
      </w:r>
      <w:r>
        <w:rPr>
          <w:rFonts w:hint="eastAsia"/>
          <w:color w:val="auto"/>
          <w:lang w:eastAsia="zh-CN"/>
        </w:rPr>
        <w:t>。详见表</w:t>
      </w:r>
      <w:r>
        <w:rPr>
          <w:rFonts w:hint="eastAsia"/>
          <w:color w:val="auto"/>
          <w:lang w:val="en-US" w:eastAsia="zh-CN"/>
        </w:rPr>
        <w:t>6</w:t>
      </w:r>
      <w:r>
        <w:rPr>
          <w:rFonts w:hint="eastAsia"/>
          <w:color w:val="auto"/>
          <w:lang w:eastAsia="zh-CN"/>
        </w:rPr>
        <w:t>-</w:t>
      </w:r>
      <w:r>
        <w:rPr>
          <w:rFonts w:hint="eastAsia"/>
          <w:color w:val="auto"/>
          <w:lang w:val="en-US" w:eastAsia="zh-CN"/>
        </w:rPr>
        <w:t>1</w:t>
      </w:r>
      <w:r>
        <w:rPr>
          <w:rFonts w:hint="eastAsia"/>
          <w:color w:val="auto"/>
          <w:lang w:eastAsia="zh-CN"/>
        </w:rPr>
        <w:t>，经计算得林草植被恢复率9</w:t>
      </w:r>
      <w:r>
        <w:rPr>
          <w:rFonts w:hint="eastAsia"/>
          <w:color w:val="auto"/>
          <w:lang w:val="en-US" w:eastAsia="zh-CN"/>
        </w:rPr>
        <w:t>9.48</w:t>
      </w:r>
      <w:r>
        <w:rPr>
          <w:rFonts w:hint="eastAsia"/>
          <w:color w:val="auto"/>
          <w:lang w:eastAsia="zh-CN"/>
        </w:rPr>
        <w:t>%计算公式如下：</w:t>
      </w:r>
    </w:p>
    <w:p>
      <w:pPr>
        <w:spacing w:after="156"/>
        <w:ind w:firstLine="0" w:firstLineChars="0"/>
        <w:jc w:val="center"/>
        <w:rPr>
          <w:color w:val="auto"/>
          <w:highlight w:val="none"/>
          <w:lang w:eastAsia="zh-CN"/>
        </w:rPr>
      </w:pPr>
      <w:r>
        <w:rPr>
          <w:rFonts w:hint="eastAsia"/>
          <w:color w:val="auto"/>
          <w:position w:val="-26"/>
          <w:highlight w:val="none"/>
          <w:lang w:eastAsia="zh-CN"/>
        </w:rPr>
        <w:object>
          <v:shape id="_x0000_i1029" o:spt="75" type="#_x0000_t75" style="height:28.35pt;width:356.3pt;" o:ole="t" filled="f" o:preferrelative="t" stroked="f" coordsize="21600,21600">
            <v:path/>
            <v:fill on="f" focussize="0,0"/>
            <v:stroke on="f"/>
            <v:imagedata r:id="rId73" o:title=""/>
            <o:lock v:ext="edit" aspectratio="t"/>
            <w10:wrap type="none"/>
            <w10:anchorlock/>
          </v:shape>
          <o:OLEObject Type="Embed" ProgID="Equation.3" ShapeID="_x0000_i1029" DrawAspect="Content" ObjectID="_1468075729" r:id="rId72">
            <o:LockedField>false</o:LockedField>
          </o:OLEObject>
        </w:object>
      </w:r>
    </w:p>
    <w:p>
      <w:pPr>
        <w:pStyle w:val="3"/>
        <w:rPr>
          <w:rFonts w:hint="default"/>
          <w:color w:val="auto"/>
        </w:rPr>
      </w:pPr>
      <w:bookmarkStart w:id="174" w:name="_Toc15810"/>
      <w:r>
        <w:rPr>
          <w:rFonts w:hint="default"/>
          <w:color w:val="auto"/>
        </w:rPr>
        <w:t>6.6林草覆盖率</w:t>
      </w:r>
      <w:bookmarkEnd w:id="171"/>
      <w:bookmarkEnd w:id="172"/>
      <w:bookmarkEnd w:id="173"/>
      <w:bookmarkEnd w:id="174"/>
    </w:p>
    <w:p>
      <w:pPr>
        <w:bidi w:val="0"/>
        <w:rPr>
          <w:color w:val="auto"/>
          <w:lang w:eastAsia="zh-CN"/>
        </w:rPr>
      </w:pPr>
      <w:r>
        <w:rPr>
          <w:rFonts w:hint="eastAsia"/>
          <w:color w:val="auto"/>
          <w:lang w:eastAsia="zh-CN"/>
        </w:rPr>
        <w:t>项目建设区内已实施的植物措施面积</w:t>
      </w:r>
      <w:r>
        <w:rPr>
          <w:rFonts w:hint="eastAsia"/>
          <w:color w:val="auto"/>
          <w:lang w:val="en-US" w:eastAsia="zh-CN"/>
        </w:rPr>
        <w:t>23.08</w:t>
      </w:r>
      <w:r>
        <w:rPr>
          <w:rFonts w:hint="eastAsia"/>
          <w:color w:val="auto"/>
          <w:lang w:eastAsia="zh-CN"/>
        </w:rPr>
        <w:t>hm</w:t>
      </w:r>
      <w:r>
        <w:rPr>
          <w:rFonts w:hint="eastAsia"/>
          <w:color w:val="auto"/>
          <w:vertAlign w:val="superscript"/>
          <w:lang w:val="en-US" w:eastAsia="zh-CN"/>
        </w:rPr>
        <w:t>2</w:t>
      </w:r>
      <w:r>
        <w:rPr>
          <w:rFonts w:hint="eastAsia"/>
          <w:color w:val="auto"/>
          <w:lang w:eastAsia="zh-CN"/>
        </w:rPr>
        <w:t>，项目区目前实际植被覆盖面积为</w:t>
      </w:r>
      <w:r>
        <w:rPr>
          <w:rFonts w:hint="eastAsia"/>
          <w:color w:val="auto"/>
          <w:lang w:val="en-US" w:eastAsia="zh-CN"/>
        </w:rPr>
        <w:t>23.08</w:t>
      </w:r>
      <w:r>
        <w:rPr>
          <w:rFonts w:hint="eastAsia"/>
          <w:color w:val="auto"/>
          <w:lang w:eastAsia="zh-CN"/>
        </w:rPr>
        <w:t>hm</w:t>
      </w:r>
      <w:r>
        <w:rPr>
          <w:rFonts w:hint="eastAsia"/>
          <w:color w:val="auto"/>
          <w:vertAlign w:val="superscript"/>
          <w:lang w:val="en-US" w:eastAsia="zh-CN"/>
        </w:rPr>
        <w:t>2</w:t>
      </w:r>
      <w:r>
        <w:rPr>
          <w:rFonts w:hint="eastAsia"/>
          <w:color w:val="auto"/>
          <w:lang w:eastAsia="zh-CN"/>
        </w:rPr>
        <w:t>，项目建设区占地面积为</w:t>
      </w:r>
      <w:r>
        <w:rPr>
          <w:rFonts w:hint="eastAsia"/>
          <w:color w:val="auto"/>
          <w:lang w:val="en-US" w:eastAsia="zh-CN"/>
        </w:rPr>
        <w:t>33.81</w:t>
      </w:r>
      <w:r>
        <w:rPr>
          <w:rFonts w:hint="eastAsia"/>
          <w:color w:val="auto"/>
          <w:lang w:eastAsia="zh-CN"/>
        </w:rPr>
        <w:t>hm</w:t>
      </w:r>
      <w:r>
        <w:rPr>
          <w:rFonts w:hint="eastAsia"/>
          <w:color w:val="auto"/>
          <w:vertAlign w:val="superscript"/>
          <w:lang w:val="en-US" w:eastAsia="zh-CN"/>
        </w:rPr>
        <w:t>2</w:t>
      </w:r>
      <w:r>
        <w:rPr>
          <w:rFonts w:hint="eastAsia"/>
          <w:color w:val="auto"/>
          <w:lang w:eastAsia="zh-CN"/>
        </w:rPr>
        <w:t>。计算详见表</w:t>
      </w:r>
      <w:r>
        <w:rPr>
          <w:rFonts w:hint="eastAsia"/>
          <w:color w:val="auto"/>
          <w:lang w:val="en-US" w:eastAsia="zh-CN"/>
        </w:rPr>
        <w:t>6-1</w:t>
      </w:r>
      <w:r>
        <w:rPr>
          <w:rFonts w:hint="eastAsia"/>
          <w:color w:val="auto"/>
          <w:lang w:eastAsia="zh-CN"/>
        </w:rPr>
        <w:t>，计算得林草覆盖率为</w:t>
      </w:r>
      <w:r>
        <w:rPr>
          <w:rFonts w:hint="eastAsia"/>
          <w:color w:val="auto"/>
          <w:lang w:val="en-US" w:eastAsia="zh-CN"/>
        </w:rPr>
        <w:t>35.98</w:t>
      </w:r>
      <w:r>
        <w:rPr>
          <w:rFonts w:hint="eastAsia"/>
          <w:color w:val="auto"/>
          <w:lang w:eastAsia="zh-CN"/>
        </w:rPr>
        <w:t>%，计算公式如下：</w:t>
      </w:r>
    </w:p>
    <w:p>
      <w:pPr>
        <w:rPr>
          <w:rFonts w:hint="eastAsia"/>
          <w:color w:val="auto"/>
          <w:position w:val="-26"/>
          <w:highlight w:val="none"/>
          <w:lang w:eastAsia="zh-CN"/>
        </w:rPr>
      </w:pPr>
      <w:r>
        <w:rPr>
          <w:rFonts w:hint="eastAsia"/>
          <w:color w:val="auto"/>
          <w:position w:val="-26"/>
          <w:highlight w:val="none"/>
          <w:lang w:eastAsia="zh-CN"/>
        </w:rPr>
        <w:object>
          <v:shape id="_x0000_i1030" o:spt="75" type="#_x0000_t75" style="height:31.4pt;width:394.95pt;" o:ole="t" filled="f" o:preferrelative="t" stroked="f" coordsize="21600,21600">
            <v:path/>
            <v:fill on="f" focussize="0,0"/>
            <v:stroke on="f"/>
            <v:imagedata r:id="rId75" o:title=""/>
            <o:lock v:ext="edit" aspectratio="t"/>
            <w10:wrap type="none"/>
            <w10:anchorlock/>
          </v:shape>
          <o:OLEObject Type="Embed" ProgID="Equation.3" ShapeID="_x0000_i1030" DrawAspect="Content" ObjectID="_1468075730" r:id="rId74">
            <o:LockedField>false</o:LockedField>
          </o:OLEObject>
        </w:object>
      </w:r>
    </w:p>
    <w:p>
      <w:pPr>
        <w:pStyle w:val="3"/>
        <w:bidi w:val="0"/>
        <w:rPr>
          <w:rFonts w:hint="eastAsia"/>
          <w:color w:val="auto"/>
          <w:lang w:val="en-US" w:eastAsia="zh-CN"/>
        </w:rPr>
        <w:sectPr>
          <w:headerReference r:id="rId14" w:type="default"/>
          <w:pgSz w:w="11906" w:h="16838"/>
          <w:pgMar w:top="1440" w:right="1418" w:bottom="1440" w:left="1701" w:header="851" w:footer="992" w:gutter="0"/>
          <w:pgBorders>
            <w:top w:val="none" w:sz="0" w:space="0"/>
            <w:left w:val="none" w:sz="0" w:space="0"/>
            <w:bottom w:val="none" w:sz="0" w:space="0"/>
            <w:right w:val="none" w:sz="0" w:space="0"/>
          </w:pgBorders>
          <w:pgNumType w:fmt="decimal"/>
          <w:cols w:space="720" w:num="1"/>
          <w:docGrid w:linePitch="326" w:charSpace="0"/>
        </w:sectPr>
      </w:pPr>
    </w:p>
    <w:p>
      <w:pPr>
        <w:pStyle w:val="17"/>
        <w:rPr>
          <w:rFonts w:hint="eastAsia"/>
          <w:color w:val="auto"/>
          <w:lang w:val="en-US" w:eastAsia="zh-CN"/>
        </w:rPr>
      </w:pPr>
      <w:r>
        <w:rPr>
          <w:rFonts w:hint="eastAsia"/>
          <w:color w:val="auto"/>
          <w:lang w:val="en-US" w:eastAsia="zh-CN"/>
        </w:rPr>
        <w:t>表6-1 六项指标值计算表</w:t>
      </w:r>
    </w:p>
    <w:tbl>
      <w:tblPr>
        <w:tblStyle w:val="11"/>
        <w:tblW w:w="13976" w:type="dxa"/>
        <w:tblInd w:w="0" w:type="dxa"/>
        <w:shd w:val="clear" w:color="auto" w:fill="auto"/>
        <w:tblLayout w:type="fixed"/>
        <w:tblCellMar>
          <w:top w:w="0" w:type="dxa"/>
          <w:left w:w="0" w:type="dxa"/>
          <w:bottom w:w="0" w:type="dxa"/>
          <w:right w:w="0" w:type="dxa"/>
        </w:tblCellMar>
      </w:tblPr>
      <w:tblGrid>
        <w:gridCol w:w="1119"/>
        <w:gridCol w:w="867"/>
        <w:gridCol w:w="993"/>
        <w:gridCol w:w="993"/>
        <w:gridCol w:w="993"/>
        <w:gridCol w:w="1049"/>
        <w:gridCol w:w="1012"/>
        <w:gridCol w:w="993"/>
        <w:gridCol w:w="993"/>
        <w:gridCol w:w="992"/>
        <w:gridCol w:w="993"/>
        <w:gridCol w:w="993"/>
        <w:gridCol w:w="993"/>
        <w:gridCol w:w="993"/>
      </w:tblGrid>
      <w:tr>
        <w:tblPrEx>
          <w:tblCellMar>
            <w:top w:w="0" w:type="dxa"/>
            <w:left w:w="0" w:type="dxa"/>
            <w:bottom w:w="0" w:type="dxa"/>
            <w:right w:w="0" w:type="dxa"/>
          </w:tblCellMar>
        </w:tblPrEx>
        <w:trPr>
          <w:trHeight w:val="285" w:hRule="atLeast"/>
        </w:trPr>
        <w:tc>
          <w:tcPr>
            <w:tcW w:w="1119"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项目区</w:t>
            </w:r>
          </w:p>
        </w:tc>
        <w:tc>
          <w:tcPr>
            <w:tcW w:w="867"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水土流失面积</w:t>
            </w:r>
          </w:p>
        </w:tc>
        <w:tc>
          <w:tcPr>
            <w:tcW w:w="993"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项目建设扰动面积</w:t>
            </w:r>
          </w:p>
        </w:tc>
        <w:tc>
          <w:tcPr>
            <w:tcW w:w="993"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永久建筑面积</w:t>
            </w:r>
          </w:p>
        </w:tc>
        <w:tc>
          <w:tcPr>
            <w:tcW w:w="3054" w:type="dxa"/>
            <w:gridSpan w:val="3"/>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措施面积</w:t>
            </w:r>
          </w:p>
        </w:tc>
        <w:tc>
          <w:tcPr>
            <w:tcW w:w="993"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可绿化面积</w:t>
            </w:r>
          </w:p>
        </w:tc>
        <w:tc>
          <w:tcPr>
            <w:tcW w:w="993"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color w:val="auto"/>
                <w:lang w:val="en-US" w:eastAsia="zh-CN"/>
              </w:rPr>
              <w:t>扰动土地整治率（%）</w:t>
            </w:r>
          </w:p>
        </w:tc>
        <w:tc>
          <w:tcPr>
            <w:tcW w:w="992"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水土流失治理度（%</w:t>
            </w:r>
            <w:r>
              <w:rPr>
                <w:color w:val="auto"/>
                <w:lang w:val="en-US" w:eastAsia="zh-CN"/>
              </w:rPr>
              <w:t>）</w:t>
            </w:r>
          </w:p>
        </w:tc>
        <w:tc>
          <w:tcPr>
            <w:tcW w:w="993"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土壤流失控制比</w:t>
            </w:r>
          </w:p>
        </w:tc>
        <w:tc>
          <w:tcPr>
            <w:tcW w:w="993"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拦渣率（%</w:t>
            </w:r>
            <w:r>
              <w:rPr>
                <w:color w:val="auto"/>
                <w:lang w:val="en-US" w:eastAsia="zh-CN"/>
              </w:rPr>
              <w:t>）</w:t>
            </w:r>
          </w:p>
        </w:tc>
        <w:tc>
          <w:tcPr>
            <w:tcW w:w="993"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林草植被恢复率（%</w:t>
            </w:r>
            <w:r>
              <w:rPr>
                <w:color w:val="auto"/>
                <w:lang w:val="en-US" w:eastAsia="zh-CN"/>
              </w:rPr>
              <w:t>）</w:t>
            </w:r>
          </w:p>
        </w:tc>
        <w:tc>
          <w:tcPr>
            <w:tcW w:w="993"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林草覆盖率（%</w:t>
            </w:r>
            <w:r>
              <w:rPr>
                <w:color w:val="auto"/>
                <w:lang w:val="en-US" w:eastAsia="zh-CN"/>
              </w:rPr>
              <w:t>）</w:t>
            </w:r>
          </w:p>
        </w:tc>
      </w:tr>
      <w:tr>
        <w:tblPrEx>
          <w:tblCellMar>
            <w:top w:w="0" w:type="dxa"/>
            <w:left w:w="0" w:type="dxa"/>
            <w:bottom w:w="0" w:type="dxa"/>
            <w:right w:w="0" w:type="dxa"/>
          </w:tblCellMar>
        </w:tblPrEx>
        <w:trPr>
          <w:trHeight w:val="285" w:hRule="atLeast"/>
        </w:trPr>
        <w:tc>
          <w:tcPr>
            <w:tcW w:w="1119"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p>
        </w:tc>
        <w:tc>
          <w:tcPr>
            <w:tcW w:w="867"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p>
        </w:tc>
        <w:tc>
          <w:tcPr>
            <w:tcW w:w="993"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p>
        </w:tc>
        <w:tc>
          <w:tcPr>
            <w:tcW w:w="993"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小计</w:t>
            </w:r>
          </w:p>
        </w:tc>
        <w:tc>
          <w:tcPr>
            <w:tcW w:w="104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工程措施</w:t>
            </w:r>
          </w:p>
        </w:tc>
        <w:tc>
          <w:tcPr>
            <w:tcW w:w="10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植物措施</w:t>
            </w:r>
          </w:p>
        </w:tc>
        <w:tc>
          <w:tcPr>
            <w:tcW w:w="993"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p>
        </w:tc>
        <w:tc>
          <w:tcPr>
            <w:tcW w:w="993"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p>
        </w:tc>
        <w:tc>
          <w:tcPr>
            <w:tcW w:w="992"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p>
        </w:tc>
        <w:tc>
          <w:tcPr>
            <w:tcW w:w="993"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p>
        </w:tc>
        <w:tc>
          <w:tcPr>
            <w:tcW w:w="993"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p>
        </w:tc>
        <w:tc>
          <w:tcPr>
            <w:tcW w:w="993"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p>
        </w:tc>
        <w:tc>
          <w:tcPr>
            <w:tcW w:w="993"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p>
        </w:tc>
      </w:tr>
      <w:tr>
        <w:tblPrEx>
          <w:tblCellMar>
            <w:top w:w="0" w:type="dxa"/>
            <w:left w:w="0" w:type="dxa"/>
            <w:bottom w:w="0" w:type="dxa"/>
            <w:right w:w="0" w:type="dxa"/>
          </w:tblCellMar>
        </w:tblPrEx>
        <w:trPr>
          <w:trHeight w:val="555" w:hRule="atLeast"/>
        </w:trPr>
        <w:tc>
          <w:tcPr>
            <w:tcW w:w="111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路基工程区</w:t>
            </w:r>
          </w:p>
        </w:tc>
        <w:tc>
          <w:tcPr>
            <w:tcW w:w="86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28.02</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58.19</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30.17</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27.95</w:t>
            </w:r>
          </w:p>
        </w:tc>
        <w:tc>
          <w:tcPr>
            <w:tcW w:w="104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10.58</w:t>
            </w:r>
          </w:p>
        </w:tc>
        <w:tc>
          <w:tcPr>
            <w:tcW w:w="10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17.37</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17.44</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99.88%</w:t>
            </w:r>
          </w:p>
        </w:tc>
        <w:tc>
          <w:tcPr>
            <w:tcW w:w="99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99.75%</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 xml:space="preserve">1.25 </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99.00%</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99.60%</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29.85%</w:t>
            </w:r>
          </w:p>
        </w:tc>
      </w:tr>
      <w:tr>
        <w:tblPrEx>
          <w:tblCellMar>
            <w:top w:w="0" w:type="dxa"/>
            <w:left w:w="0" w:type="dxa"/>
            <w:bottom w:w="0" w:type="dxa"/>
            <w:right w:w="0" w:type="dxa"/>
          </w:tblCellMar>
        </w:tblPrEx>
        <w:trPr>
          <w:trHeight w:val="555" w:hRule="atLeast"/>
        </w:trPr>
        <w:tc>
          <w:tcPr>
            <w:tcW w:w="111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桥梁工程区</w:t>
            </w:r>
          </w:p>
        </w:tc>
        <w:tc>
          <w:tcPr>
            <w:tcW w:w="86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0.02</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0.19</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0.17</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0.02</w:t>
            </w:r>
          </w:p>
        </w:tc>
        <w:tc>
          <w:tcPr>
            <w:tcW w:w="104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0</w:t>
            </w:r>
          </w:p>
        </w:tc>
        <w:tc>
          <w:tcPr>
            <w:tcW w:w="10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0.02</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0.02</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eastAsia"/>
                <w:color w:val="auto"/>
                <w:lang w:val="en-US" w:eastAsia="zh-CN"/>
              </w:rPr>
              <w:t>99.99</w:t>
            </w:r>
            <w:r>
              <w:rPr>
                <w:rFonts w:hint="default"/>
                <w:color w:val="auto"/>
                <w:lang w:val="en-US" w:eastAsia="zh-CN"/>
              </w:rPr>
              <w:t>%</w:t>
            </w:r>
          </w:p>
        </w:tc>
        <w:tc>
          <w:tcPr>
            <w:tcW w:w="99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eastAsia"/>
                <w:color w:val="auto"/>
                <w:lang w:val="en-US" w:eastAsia="zh-CN"/>
              </w:rPr>
              <w:t>99.99</w:t>
            </w:r>
            <w:r>
              <w:rPr>
                <w:rFonts w:hint="default"/>
                <w:color w:val="auto"/>
                <w:lang w:val="en-US" w:eastAsia="zh-CN"/>
              </w:rPr>
              <w:t>%</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 xml:space="preserve">1.25 </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99.00%</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eastAsia"/>
                <w:color w:val="auto"/>
                <w:lang w:val="en-US" w:eastAsia="zh-CN"/>
              </w:rPr>
              <w:t>99.99</w:t>
            </w:r>
            <w:r>
              <w:rPr>
                <w:rFonts w:hint="default"/>
                <w:color w:val="auto"/>
                <w:lang w:val="en-US" w:eastAsia="zh-CN"/>
              </w:rPr>
              <w:t>%</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10.53%</w:t>
            </w:r>
          </w:p>
        </w:tc>
      </w:tr>
      <w:tr>
        <w:tblPrEx>
          <w:tblCellMar>
            <w:top w:w="0" w:type="dxa"/>
            <w:left w:w="0" w:type="dxa"/>
            <w:bottom w:w="0" w:type="dxa"/>
            <w:right w:w="0" w:type="dxa"/>
          </w:tblCellMar>
        </w:tblPrEx>
        <w:trPr>
          <w:trHeight w:val="285" w:hRule="atLeast"/>
        </w:trPr>
        <w:tc>
          <w:tcPr>
            <w:tcW w:w="111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弃渣场区</w:t>
            </w:r>
          </w:p>
        </w:tc>
        <w:tc>
          <w:tcPr>
            <w:tcW w:w="86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3.21</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3.21</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0</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3.18</w:t>
            </w:r>
          </w:p>
        </w:tc>
        <w:tc>
          <w:tcPr>
            <w:tcW w:w="104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0.03</w:t>
            </w:r>
          </w:p>
        </w:tc>
        <w:tc>
          <w:tcPr>
            <w:tcW w:w="10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3.15</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3.18</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99.07%</w:t>
            </w:r>
          </w:p>
        </w:tc>
        <w:tc>
          <w:tcPr>
            <w:tcW w:w="99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99.07%</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 xml:space="preserve">0.74 </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99.00%</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99.06%</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98.13%</w:t>
            </w:r>
          </w:p>
        </w:tc>
      </w:tr>
      <w:tr>
        <w:tblPrEx>
          <w:tblCellMar>
            <w:top w:w="0" w:type="dxa"/>
            <w:left w:w="0" w:type="dxa"/>
            <w:bottom w:w="0" w:type="dxa"/>
            <w:right w:w="0" w:type="dxa"/>
          </w:tblCellMar>
        </w:tblPrEx>
        <w:trPr>
          <w:trHeight w:val="285" w:hRule="atLeast"/>
        </w:trPr>
        <w:tc>
          <w:tcPr>
            <w:tcW w:w="111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取料场区</w:t>
            </w:r>
          </w:p>
        </w:tc>
        <w:tc>
          <w:tcPr>
            <w:tcW w:w="86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2.26</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2.26</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0</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2.24</w:t>
            </w:r>
          </w:p>
        </w:tc>
        <w:tc>
          <w:tcPr>
            <w:tcW w:w="104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　</w:t>
            </w:r>
          </w:p>
        </w:tc>
        <w:tc>
          <w:tcPr>
            <w:tcW w:w="10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2.24</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2.26</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99.12%</w:t>
            </w:r>
          </w:p>
        </w:tc>
        <w:tc>
          <w:tcPr>
            <w:tcW w:w="99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99.12%</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 xml:space="preserve">0.63 </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99.00%</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99.12%</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99.12%</w:t>
            </w:r>
          </w:p>
        </w:tc>
      </w:tr>
      <w:tr>
        <w:tblPrEx>
          <w:tblCellMar>
            <w:top w:w="0" w:type="dxa"/>
            <w:left w:w="0" w:type="dxa"/>
            <w:bottom w:w="0" w:type="dxa"/>
            <w:right w:w="0" w:type="dxa"/>
          </w:tblCellMar>
        </w:tblPrEx>
        <w:trPr>
          <w:trHeight w:val="285" w:hRule="atLeast"/>
        </w:trPr>
        <w:tc>
          <w:tcPr>
            <w:tcW w:w="111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拌合站区</w:t>
            </w:r>
          </w:p>
        </w:tc>
        <w:tc>
          <w:tcPr>
            <w:tcW w:w="86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0.3</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0.3</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0</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0.3</w:t>
            </w:r>
          </w:p>
        </w:tc>
        <w:tc>
          <w:tcPr>
            <w:tcW w:w="104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　</w:t>
            </w:r>
          </w:p>
        </w:tc>
        <w:tc>
          <w:tcPr>
            <w:tcW w:w="10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0.3</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0.3</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eastAsia"/>
                <w:color w:val="auto"/>
                <w:lang w:val="en-US" w:eastAsia="zh-CN"/>
              </w:rPr>
              <w:t>99.99</w:t>
            </w:r>
            <w:r>
              <w:rPr>
                <w:rFonts w:hint="default"/>
                <w:color w:val="auto"/>
                <w:lang w:val="en-US" w:eastAsia="zh-CN"/>
              </w:rPr>
              <w:t>%</w:t>
            </w:r>
          </w:p>
        </w:tc>
        <w:tc>
          <w:tcPr>
            <w:tcW w:w="99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eastAsia"/>
                <w:color w:val="auto"/>
                <w:lang w:val="en-US" w:eastAsia="zh-CN"/>
              </w:rPr>
              <w:t>99.99</w:t>
            </w:r>
            <w:r>
              <w:rPr>
                <w:rFonts w:hint="default"/>
                <w:color w:val="auto"/>
                <w:lang w:val="en-US" w:eastAsia="zh-CN"/>
              </w:rPr>
              <w:t>%</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 xml:space="preserve">0.91 </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99.00%</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eastAsia"/>
                <w:color w:val="auto"/>
                <w:lang w:val="en-US" w:eastAsia="zh-CN"/>
              </w:rPr>
              <w:t>99.99</w:t>
            </w:r>
            <w:r>
              <w:rPr>
                <w:rFonts w:hint="default"/>
                <w:color w:val="auto"/>
                <w:lang w:val="en-US" w:eastAsia="zh-CN"/>
              </w:rPr>
              <w:t>%</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eastAsia"/>
                <w:color w:val="auto"/>
                <w:lang w:val="en-US" w:eastAsia="zh-CN"/>
              </w:rPr>
              <w:t>99.99</w:t>
            </w:r>
            <w:r>
              <w:rPr>
                <w:rFonts w:hint="default"/>
                <w:color w:val="auto"/>
                <w:lang w:val="en-US" w:eastAsia="zh-CN"/>
              </w:rPr>
              <w:t>%</w:t>
            </w:r>
          </w:p>
        </w:tc>
      </w:tr>
      <w:tr>
        <w:tblPrEx>
          <w:tblCellMar>
            <w:top w:w="0" w:type="dxa"/>
            <w:left w:w="0" w:type="dxa"/>
            <w:bottom w:w="0" w:type="dxa"/>
            <w:right w:w="0" w:type="dxa"/>
          </w:tblCellMar>
        </w:tblPrEx>
        <w:trPr>
          <w:trHeight w:val="285" w:hRule="atLeast"/>
        </w:trPr>
        <w:tc>
          <w:tcPr>
            <w:tcW w:w="111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合计</w:t>
            </w:r>
          </w:p>
        </w:tc>
        <w:tc>
          <w:tcPr>
            <w:tcW w:w="86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33.81</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64.15</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30.34</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33.69</w:t>
            </w:r>
          </w:p>
        </w:tc>
        <w:tc>
          <w:tcPr>
            <w:tcW w:w="104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10.61</w:t>
            </w:r>
          </w:p>
        </w:tc>
        <w:tc>
          <w:tcPr>
            <w:tcW w:w="101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23.08</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23.2</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99.81%</w:t>
            </w:r>
          </w:p>
        </w:tc>
        <w:tc>
          <w:tcPr>
            <w:tcW w:w="99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99.65%</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 xml:space="preserve">1.10 </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99.00%</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99.48%</w:t>
            </w:r>
          </w:p>
        </w:tc>
        <w:tc>
          <w:tcPr>
            <w:tcW w:w="99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16"/>
              <w:rPr>
                <w:rFonts w:hint="default"/>
                <w:color w:val="auto"/>
              </w:rPr>
            </w:pPr>
            <w:r>
              <w:rPr>
                <w:rFonts w:hint="default"/>
                <w:color w:val="auto"/>
                <w:lang w:val="en-US" w:eastAsia="zh-CN"/>
              </w:rPr>
              <w:t>35.98%</w:t>
            </w:r>
          </w:p>
        </w:tc>
      </w:tr>
    </w:tbl>
    <w:p>
      <w:pPr>
        <w:rPr>
          <w:rFonts w:hint="eastAsia"/>
          <w:color w:val="auto"/>
          <w:lang w:val="en-US" w:eastAsia="zh-CN"/>
        </w:rPr>
        <w:sectPr>
          <w:pgSz w:w="16838" w:h="11906" w:orient="landscape"/>
          <w:pgMar w:top="1701" w:right="1440" w:bottom="1418" w:left="1440" w:header="851" w:footer="992" w:gutter="0"/>
          <w:pgBorders>
            <w:top w:val="none" w:sz="0" w:space="0"/>
            <w:left w:val="none" w:sz="0" w:space="0"/>
            <w:bottom w:val="none" w:sz="0" w:space="0"/>
            <w:right w:val="none" w:sz="0" w:space="0"/>
          </w:pgBorders>
          <w:pgNumType w:fmt="decimal"/>
          <w:cols w:space="720" w:num="1"/>
          <w:docGrid w:linePitch="326" w:charSpace="0"/>
        </w:sectPr>
      </w:pPr>
    </w:p>
    <w:p>
      <w:pPr>
        <w:pStyle w:val="3"/>
        <w:bidi w:val="0"/>
        <w:rPr>
          <w:color w:val="auto"/>
        </w:rPr>
      </w:pPr>
      <w:bookmarkStart w:id="175" w:name="_Toc29004"/>
      <w:r>
        <w:rPr>
          <w:rFonts w:hint="eastAsia"/>
          <w:color w:val="auto"/>
          <w:lang w:val="en-US" w:eastAsia="zh-CN"/>
        </w:rPr>
        <w:t>6.7</w:t>
      </w:r>
      <w:r>
        <w:rPr>
          <w:color w:val="auto"/>
        </w:rPr>
        <w:t>水土保持效果达标情况</w:t>
      </w:r>
      <w:bookmarkEnd w:id="175"/>
    </w:p>
    <w:p>
      <w:pPr>
        <w:ind w:firstLine="480"/>
        <w:contextualSpacing/>
        <w:rPr>
          <w:color w:val="auto"/>
        </w:rPr>
      </w:pPr>
      <w:r>
        <w:rPr>
          <w:rFonts w:ascii="Times New Roman" w:hAnsi="Times New Roman" w:eastAsia="仿宋_GB2312"/>
          <w:color w:val="auto"/>
        </w:rPr>
        <w:t>水土保持六项指标达标情况见表</w:t>
      </w:r>
      <w:r>
        <w:rPr>
          <w:rFonts w:hint="eastAsia"/>
          <w:color w:val="auto"/>
          <w:lang w:val="en-US" w:eastAsia="zh-CN"/>
        </w:rPr>
        <w:t>6</w:t>
      </w:r>
      <w:r>
        <w:rPr>
          <w:rFonts w:hint="eastAsia" w:ascii="Times New Roman" w:hAnsi="Times New Roman" w:eastAsia="仿宋_GB2312"/>
          <w:color w:val="auto"/>
          <w:lang w:val="en-US" w:eastAsia="zh-CN"/>
        </w:rPr>
        <w:t>-</w:t>
      </w:r>
      <w:r>
        <w:rPr>
          <w:rFonts w:hint="eastAsia"/>
          <w:color w:val="auto"/>
          <w:lang w:val="en-US" w:eastAsia="zh-CN"/>
        </w:rPr>
        <w:t>2</w:t>
      </w:r>
      <w:r>
        <w:rPr>
          <w:rFonts w:ascii="Times New Roman" w:hAnsi="Times New Roman" w:eastAsia="仿宋_GB2312"/>
          <w:color w:val="auto"/>
        </w:rPr>
        <w:t>。</w:t>
      </w:r>
    </w:p>
    <w:p>
      <w:pPr>
        <w:pStyle w:val="17"/>
        <w:bidi w:val="0"/>
        <w:rPr>
          <w:color w:val="auto"/>
        </w:rPr>
      </w:pPr>
    </w:p>
    <w:p>
      <w:pPr>
        <w:pStyle w:val="17"/>
        <w:bidi w:val="0"/>
        <w:rPr>
          <w:rFonts w:hint="eastAsia"/>
          <w:b w:val="0"/>
          <w:bCs w:val="0"/>
          <w:color w:val="auto"/>
          <w:sz w:val="24"/>
          <w:szCs w:val="24"/>
          <w:lang w:eastAsia="zh-CN"/>
        </w:rPr>
      </w:pPr>
      <w:r>
        <w:rPr>
          <w:b w:val="0"/>
          <w:bCs w:val="0"/>
          <w:color w:val="auto"/>
          <w:sz w:val="24"/>
          <w:szCs w:val="24"/>
        </w:rPr>
        <w:t>表</w:t>
      </w:r>
      <w:r>
        <w:rPr>
          <w:rFonts w:hint="eastAsia"/>
          <w:b w:val="0"/>
          <w:bCs w:val="0"/>
          <w:color w:val="auto"/>
          <w:sz w:val="24"/>
          <w:szCs w:val="24"/>
          <w:lang w:val="en-US" w:eastAsia="zh-CN"/>
        </w:rPr>
        <w:t>6-2</w:t>
      </w:r>
      <w:r>
        <w:rPr>
          <w:b w:val="0"/>
          <w:bCs w:val="0"/>
          <w:color w:val="auto"/>
          <w:sz w:val="24"/>
          <w:szCs w:val="24"/>
        </w:rPr>
        <w:t xml:space="preserve">  本</w:t>
      </w:r>
      <w:r>
        <w:rPr>
          <w:rFonts w:hint="eastAsia"/>
          <w:b w:val="0"/>
          <w:bCs w:val="0"/>
          <w:color w:val="auto"/>
          <w:sz w:val="24"/>
          <w:szCs w:val="24"/>
          <w:lang w:eastAsia="zh-CN"/>
        </w:rPr>
        <w:t>项目</w:t>
      </w:r>
      <w:r>
        <w:rPr>
          <w:b w:val="0"/>
          <w:bCs w:val="0"/>
          <w:color w:val="auto"/>
          <w:sz w:val="24"/>
          <w:szCs w:val="24"/>
        </w:rPr>
        <w:t>防治达标情况表</w:t>
      </w:r>
    </w:p>
    <w:tbl>
      <w:tblPr>
        <w:tblStyle w:val="11"/>
        <w:tblW w:w="8336" w:type="dxa"/>
        <w:tblInd w:w="0" w:type="dxa"/>
        <w:tblLayout w:type="fixed"/>
        <w:tblCellMar>
          <w:top w:w="0" w:type="dxa"/>
          <w:left w:w="0" w:type="dxa"/>
          <w:bottom w:w="0" w:type="dxa"/>
          <w:right w:w="0" w:type="dxa"/>
        </w:tblCellMar>
      </w:tblPr>
      <w:tblGrid>
        <w:gridCol w:w="2050"/>
        <w:gridCol w:w="1029"/>
        <w:gridCol w:w="1752"/>
        <w:gridCol w:w="1752"/>
        <w:gridCol w:w="1753"/>
      </w:tblGrid>
      <w:tr>
        <w:tblPrEx>
          <w:tblCellMar>
            <w:top w:w="0" w:type="dxa"/>
            <w:left w:w="0" w:type="dxa"/>
            <w:bottom w:w="0" w:type="dxa"/>
            <w:right w:w="0" w:type="dxa"/>
          </w:tblCellMar>
        </w:tblPrEx>
        <w:trPr>
          <w:trHeight w:val="510" w:hRule="atLeast"/>
        </w:trPr>
        <w:tc>
          <w:tcPr>
            <w:tcW w:w="2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bidi w:val="0"/>
              <w:rPr>
                <w:color w:val="auto"/>
              </w:rPr>
            </w:pPr>
            <w:r>
              <w:rPr>
                <w:rFonts w:hint="eastAsia"/>
                <w:color w:val="auto"/>
                <w:lang w:val="en-US" w:eastAsia="zh-CN"/>
              </w:rPr>
              <w:t>项目</w:t>
            </w:r>
          </w:p>
        </w:tc>
        <w:tc>
          <w:tcPr>
            <w:tcW w:w="10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bidi w:val="0"/>
              <w:rPr>
                <w:rFonts w:hint="eastAsia"/>
                <w:color w:val="auto"/>
              </w:rPr>
            </w:pPr>
            <w:r>
              <w:rPr>
                <w:rFonts w:hint="eastAsia"/>
                <w:color w:val="auto"/>
                <w:lang w:val="en-US" w:eastAsia="zh-CN"/>
              </w:rPr>
              <w:t>单位</w:t>
            </w:r>
          </w:p>
        </w:tc>
        <w:tc>
          <w:tcPr>
            <w:tcW w:w="17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bidi w:val="0"/>
              <w:rPr>
                <w:rFonts w:hint="eastAsia"/>
                <w:color w:val="auto"/>
              </w:rPr>
            </w:pPr>
            <w:r>
              <w:rPr>
                <w:rFonts w:hint="eastAsia"/>
                <w:color w:val="auto"/>
                <w:lang w:val="en-US" w:eastAsia="zh-CN"/>
              </w:rPr>
              <w:t>方案目标值</w:t>
            </w:r>
          </w:p>
        </w:tc>
        <w:tc>
          <w:tcPr>
            <w:tcW w:w="17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bidi w:val="0"/>
              <w:rPr>
                <w:rFonts w:hint="eastAsia"/>
                <w:color w:val="auto"/>
              </w:rPr>
            </w:pPr>
            <w:r>
              <w:rPr>
                <w:rFonts w:hint="eastAsia"/>
                <w:color w:val="auto"/>
                <w:lang w:val="en-US" w:eastAsia="zh-CN"/>
              </w:rPr>
              <w:t>实际达到值</w:t>
            </w:r>
          </w:p>
        </w:tc>
        <w:tc>
          <w:tcPr>
            <w:tcW w:w="1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bidi w:val="0"/>
              <w:rPr>
                <w:rFonts w:hint="eastAsia"/>
                <w:color w:val="auto"/>
              </w:rPr>
            </w:pPr>
            <w:r>
              <w:rPr>
                <w:rFonts w:hint="eastAsia"/>
                <w:color w:val="auto"/>
                <w:lang w:val="en-US" w:eastAsia="zh-CN"/>
              </w:rPr>
              <w:t>达标情况</w:t>
            </w:r>
          </w:p>
        </w:tc>
      </w:tr>
      <w:tr>
        <w:tblPrEx>
          <w:tblCellMar>
            <w:top w:w="0" w:type="dxa"/>
            <w:left w:w="0" w:type="dxa"/>
            <w:bottom w:w="0" w:type="dxa"/>
            <w:right w:w="0" w:type="dxa"/>
          </w:tblCellMar>
        </w:tblPrEx>
        <w:trPr>
          <w:trHeight w:val="510" w:hRule="atLeast"/>
        </w:trPr>
        <w:tc>
          <w:tcPr>
            <w:tcW w:w="2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bidi w:val="0"/>
              <w:rPr>
                <w:rFonts w:hint="eastAsia"/>
                <w:color w:val="auto"/>
              </w:rPr>
            </w:pPr>
            <w:r>
              <w:rPr>
                <w:rFonts w:hint="eastAsia"/>
                <w:color w:val="auto"/>
                <w:lang w:val="en-US" w:eastAsia="zh-CN"/>
              </w:rPr>
              <w:t>扰动土地治理率</w:t>
            </w:r>
          </w:p>
        </w:tc>
        <w:tc>
          <w:tcPr>
            <w:tcW w:w="10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bidi w:val="0"/>
              <w:rPr>
                <w:rFonts w:hint="default"/>
                <w:color w:val="auto"/>
              </w:rPr>
            </w:pPr>
            <w:r>
              <w:rPr>
                <w:rFonts w:hint="default"/>
                <w:color w:val="auto"/>
                <w:lang w:val="en-US" w:eastAsia="zh-CN"/>
              </w:rPr>
              <w:t>%</w:t>
            </w:r>
          </w:p>
        </w:tc>
        <w:tc>
          <w:tcPr>
            <w:tcW w:w="17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rPr>
                <w:rFonts w:hint="default"/>
                <w:color w:val="auto"/>
              </w:rPr>
            </w:pPr>
            <w:r>
              <w:rPr>
                <w:color w:val="auto"/>
              </w:rPr>
              <w:t>95</w:t>
            </w:r>
          </w:p>
        </w:tc>
        <w:tc>
          <w:tcPr>
            <w:tcW w:w="17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rPr>
                <w:rFonts w:hint="default"/>
                <w:color w:val="auto"/>
              </w:rPr>
            </w:pPr>
            <w:r>
              <w:rPr>
                <w:rFonts w:hint="eastAsia"/>
                <w:color w:val="auto"/>
                <w:lang w:val="en-US" w:eastAsia="zh-CN"/>
              </w:rPr>
              <w:t>99.81</w:t>
            </w:r>
          </w:p>
        </w:tc>
        <w:tc>
          <w:tcPr>
            <w:tcW w:w="1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bidi w:val="0"/>
              <w:rPr>
                <w:rFonts w:hint="eastAsia"/>
                <w:color w:val="auto"/>
              </w:rPr>
            </w:pPr>
            <w:r>
              <w:rPr>
                <w:rFonts w:hint="eastAsia"/>
                <w:color w:val="auto"/>
                <w:lang w:val="en-US" w:eastAsia="zh-CN"/>
              </w:rPr>
              <w:t>达标</w:t>
            </w:r>
          </w:p>
        </w:tc>
      </w:tr>
      <w:tr>
        <w:tblPrEx>
          <w:tblCellMar>
            <w:top w:w="0" w:type="dxa"/>
            <w:left w:w="0" w:type="dxa"/>
            <w:bottom w:w="0" w:type="dxa"/>
            <w:right w:w="0" w:type="dxa"/>
          </w:tblCellMar>
        </w:tblPrEx>
        <w:trPr>
          <w:trHeight w:val="531" w:hRule="atLeast"/>
        </w:trPr>
        <w:tc>
          <w:tcPr>
            <w:tcW w:w="2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bidi w:val="0"/>
              <w:rPr>
                <w:rFonts w:hint="eastAsia"/>
                <w:color w:val="auto"/>
              </w:rPr>
            </w:pPr>
            <w:r>
              <w:rPr>
                <w:rFonts w:hint="eastAsia"/>
                <w:color w:val="auto"/>
                <w:lang w:val="en-US" w:eastAsia="zh-CN"/>
              </w:rPr>
              <w:t>水土流失治理度</w:t>
            </w:r>
          </w:p>
        </w:tc>
        <w:tc>
          <w:tcPr>
            <w:tcW w:w="10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bidi w:val="0"/>
              <w:rPr>
                <w:rFonts w:hint="default"/>
                <w:color w:val="auto"/>
              </w:rPr>
            </w:pPr>
            <w:r>
              <w:rPr>
                <w:rFonts w:hint="default"/>
                <w:color w:val="auto"/>
                <w:lang w:val="en-US" w:eastAsia="zh-CN"/>
              </w:rPr>
              <w:t>%</w:t>
            </w:r>
          </w:p>
        </w:tc>
        <w:tc>
          <w:tcPr>
            <w:tcW w:w="17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rPr>
                <w:rFonts w:hint="default"/>
                <w:color w:val="auto"/>
              </w:rPr>
            </w:pPr>
            <w:r>
              <w:rPr>
                <w:color w:val="auto"/>
              </w:rPr>
              <w:t>97</w:t>
            </w:r>
          </w:p>
        </w:tc>
        <w:tc>
          <w:tcPr>
            <w:tcW w:w="17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rPr>
                <w:rFonts w:hint="default"/>
                <w:color w:val="auto"/>
              </w:rPr>
            </w:pPr>
            <w:r>
              <w:rPr>
                <w:rFonts w:hint="eastAsia"/>
                <w:color w:val="auto"/>
                <w:lang w:val="en-US" w:eastAsia="zh-CN"/>
              </w:rPr>
              <w:t>99.65</w:t>
            </w:r>
          </w:p>
        </w:tc>
        <w:tc>
          <w:tcPr>
            <w:tcW w:w="1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bidi w:val="0"/>
              <w:rPr>
                <w:rFonts w:hint="eastAsia"/>
                <w:color w:val="auto"/>
              </w:rPr>
            </w:pPr>
            <w:r>
              <w:rPr>
                <w:rFonts w:hint="eastAsia"/>
                <w:color w:val="auto"/>
                <w:lang w:val="en-US" w:eastAsia="zh-CN"/>
              </w:rPr>
              <w:t>达标</w:t>
            </w:r>
          </w:p>
        </w:tc>
      </w:tr>
      <w:tr>
        <w:tblPrEx>
          <w:tblCellMar>
            <w:top w:w="0" w:type="dxa"/>
            <w:left w:w="0" w:type="dxa"/>
            <w:bottom w:w="0" w:type="dxa"/>
            <w:right w:w="0" w:type="dxa"/>
          </w:tblCellMar>
        </w:tblPrEx>
        <w:trPr>
          <w:trHeight w:val="510" w:hRule="atLeast"/>
        </w:trPr>
        <w:tc>
          <w:tcPr>
            <w:tcW w:w="2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bidi w:val="0"/>
              <w:rPr>
                <w:rFonts w:hint="eastAsia"/>
                <w:color w:val="auto"/>
              </w:rPr>
            </w:pPr>
            <w:r>
              <w:rPr>
                <w:rFonts w:hint="eastAsia"/>
                <w:color w:val="auto"/>
                <w:lang w:val="en-US" w:eastAsia="zh-CN"/>
              </w:rPr>
              <w:t>土壤流失控制比</w:t>
            </w:r>
          </w:p>
        </w:tc>
        <w:tc>
          <w:tcPr>
            <w:tcW w:w="10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bidi w:val="0"/>
              <w:rPr>
                <w:rFonts w:hint="default"/>
                <w:color w:val="auto"/>
              </w:rPr>
            </w:pPr>
          </w:p>
        </w:tc>
        <w:tc>
          <w:tcPr>
            <w:tcW w:w="17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rPr>
                <w:rFonts w:hint="default"/>
                <w:color w:val="auto"/>
              </w:rPr>
            </w:pPr>
            <w:r>
              <w:rPr>
                <w:rFonts w:hint="eastAsia"/>
                <w:color w:val="auto"/>
                <w:lang w:val="en-US" w:eastAsia="zh-CN"/>
              </w:rPr>
              <w:t>＞</w:t>
            </w:r>
            <w:r>
              <w:rPr>
                <w:color w:val="auto"/>
              </w:rPr>
              <w:t>1.0</w:t>
            </w:r>
          </w:p>
        </w:tc>
        <w:tc>
          <w:tcPr>
            <w:tcW w:w="17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rPr>
                <w:rFonts w:hint="default"/>
                <w:color w:val="auto"/>
                <w:lang w:val="en-US"/>
              </w:rPr>
            </w:pPr>
            <w:r>
              <w:rPr>
                <w:rFonts w:hint="default"/>
                <w:color w:val="auto"/>
                <w:lang w:val="en-US" w:eastAsia="zh-CN"/>
              </w:rPr>
              <w:t>1.</w:t>
            </w:r>
            <w:r>
              <w:rPr>
                <w:rFonts w:hint="eastAsia"/>
                <w:color w:val="auto"/>
                <w:lang w:val="en-US" w:eastAsia="zh-CN"/>
              </w:rPr>
              <w:t>10</w:t>
            </w:r>
          </w:p>
        </w:tc>
        <w:tc>
          <w:tcPr>
            <w:tcW w:w="1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bidi w:val="0"/>
              <w:rPr>
                <w:rFonts w:hint="eastAsia"/>
                <w:color w:val="auto"/>
              </w:rPr>
            </w:pPr>
            <w:r>
              <w:rPr>
                <w:rFonts w:hint="eastAsia"/>
                <w:color w:val="auto"/>
                <w:lang w:val="en-US" w:eastAsia="zh-CN"/>
              </w:rPr>
              <w:t>达标</w:t>
            </w:r>
          </w:p>
        </w:tc>
      </w:tr>
      <w:tr>
        <w:tblPrEx>
          <w:tblCellMar>
            <w:top w:w="0" w:type="dxa"/>
            <w:left w:w="0" w:type="dxa"/>
            <w:bottom w:w="0" w:type="dxa"/>
            <w:right w:w="0" w:type="dxa"/>
          </w:tblCellMar>
        </w:tblPrEx>
        <w:trPr>
          <w:trHeight w:val="285" w:hRule="atLeast"/>
        </w:trPr>
        <w:tc>
          <w:tcPr>
            <w:tcW w:w="2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bidi w:val="0"/>
              <w:rPr>
                <w:rFonts w:hint="eastAsia"/>
                <w:color w:val="auto"/>
              </w:rPr>
            </w:pPr>
            <w:r>
              <w:rPr>
                <w:rFonts w:hint="eastAsia"/>
                <w:color w:val="auto"/>
                <w:lang w:val="en-US" w:eastAsia="zh-CN"/>
              </w:rPr>
              <w:t>拦渣率</w:t>
            </w:r>
          </w:p>
        </w:tc>
        <w:tc>
          <w:tcPr>
            <w:tcW w:w="10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bidi w:val="0"/>
              <w:rPr>
                <w:rFonts w:hint="default"/>
                <w:color w:val="auto"/>
              </w:rPr>
            </w:pPr>
            <w:r>
              <w:rPr>
                <w:rFonts w:hint="default"/>
                <w:color w:val="auto"/>
                <w:lang w:val="en-US" w:eastAsia="zh-CN"/>
              </w:rPr>
              <w:t>%</w:t>
            </w:r>
          </w:p>
        </w:tc>
        <w:tc>
          <w:tcPr>
            <w:tcW w:w="17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rPr>
                <w:rFonts w:hint="default"/>
                <w:color w:val="auto"/>
              </w:rPr>
            </w:pPr>
            <w:r>
              <w:rPr>
                <w:color w:val="auto"/>
              </w:rPr>
              <w:t>95</w:t>
            </w:r>
          </w:p>
        </w:tc>
        <w:tc>
          <w:tcPr>
            <w:tcW w:w="17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rPr>
                <w:rFonts w:hint="default"/>
                <w:color w:val="auto"/>
                <w:lang w:val="en-US"/>
              </w:rPr>
            </w:pPr>
            <w:r>
              <w:rPr>
                <w:rFonts w:hint="eastAsia"/>
                <w:color w:val="auto"/>
                <w:lang w:val="en-US" w:eastAsia="zh-CN"/>
              </w:rPr>
              <w:t>99</w:t>
            </w:r>
          </w:p>
        </w:tc>
        <w:tc>
          <w:tcPr>
            <w:tcW w:w="1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bidi w:val="0"/>
              <w:rPr>
                <w:rFonts w:hint="eastAsia"/>
                <w:color w:val="auto"/>
              </w:rPr>
            </w:pPr>
            <w:r>
              <w:rPr>
                <w:rFonts w:hint="eastAsia"/>
                <w:color w:val="auto"/>
                <w:lang w:val="en-US" w:eastAsia="zh-CN"/>
              </w:rPr>
              <w:t>达标</w:t>
            </w:r>
          </w:p>
        </w:tc>
      </w:tr>
      <w:tr>
        <w:tblPrEx>
          <w:tblCellMar>
            <w:top w:w="0" w:type="dxa"/>
            <w:left w:w="0" w:type="dxa"/>
            <w:bottom w:w="0" w:type="dxa"/>
            <w:right w:w="0" w:type="dxa"/>
          </w:tblCellMar>
        </w:tblPrEx>
        <w:trPr>
          <w:trHeight w:val="510" w:hRule="atLeast"/>
        </w:trPr>
        <w:tc>
          <w:tcPr>
            <w:tcW w:w="2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bidi w:val="0"/>
              <w:rPr>
                <w:rFonts w:hint="eastAsia"/>
                <w:color w:val="auto"/>
              </w:rPr>
            </w:pPr>
            <w:r>
              <w:rPr>
                <w:rFonts w:hint="eastAsia"/>
                <w:color w:val="auto"/>
                <w:lang w:val="en-US" w:eastAsia="zh-CN"/>
              </w:rPr>
              <w:t>林草恢复率</w:t>
            </w:r>
          </w:p>
        </w:tc>
        <w:tc>
          <w:tcPr>
            <w:tcW w:w="10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bidi w:val="0"/>
              <w:rPr>
                <w:rFonts w:hint="default"/>
                <w:color w:val="auto"/>
              </w:rPr>
            </w:pPr>
            <w:r>
              <w:rPr>
                <w:rFonts w:hint="default"/>
                <w:color w:val="auto"/>
                <w:lang w:val="en-US" w:eastAsia="zh-CN"/>
              </w:rPr>
              <w:t>%</w:t>
            </w:r>
          </w:p>
        </w:tc>
        <w:tc>
          <w:tcPr>
            <w:tcW w:w="17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rPr>
                <w:rFonts w:hint="default"/>
                <w:color w:val="auto"/>
              </w:rPr>
            </w:pPr>
            <w:r>
              <w:rPr>
                <w:color w:val="auto"/>
              </w:rPr>
              <w:t>99</w:t>
            </w:r>
          </w:p>
        </w:tc>
        <w:tc>
          <w:tcPr>
            <w:tcW w:w="17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rPr>
                <w:rFonts w:hint="default"/>
                <w:color w:val="auto"/>
              </w:rPr>
            </w:pPr>
            <w:r>
              <w:rPr>
                <w:rFonts w:hint="default"/>
                <w:color w:val="auto"/>
                <w:lang w:val="en-US" w:eastAsia="zh-CN"/>
              </w:rPr>
              <w:t>99.</w:t>
            </w:r>
            <w:r>
              <w:rPr>
                <w:rFonts w:hint="eastAsia"/>
                <w:color w:val="auto"/>
                <w:lang w:val="en-US" w:eastAsia="zh-CN"/>
              </w:rPr>
              <w:t>48</w:t>
            </w:r>
          </w:p>
        </w:tc>
        <w:tc>
          <w:tcPr>
            <w:tcW w:w="1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bidi w:val="0"/>
              <w:rPr>
                <w:rFonts w:hint="eastAsia"/>
                <w:color w:val="auto"/>
              </w:rPr>
            </w:pPr>
            <w:r>
              <w:rPr>
                <w:rFonts w:hint="eastAsia"/>
                <w:color w:val="auto"/>
                <w:lang w:val="en-US" w:eastAsia="zh-CN"/>
              </w:rPr>
              <w:t>达标</w:t>
            </w:r>
          </w:p>
        </w:tc>
      </w:tr>
      <w:tr>
        <w:tblPrEx>
          <w:tblCellMar>
            <w:top w:w="0" w:type="dxa"/>
            <w:left w:w="0" w:type="dxa"/>
            <w:bottom w:w="0" w:type="dxa"/>
            <w:right w:w="0" w:type="dxa"/>
          </w:tblCellMar>
        </w:tblPrEx>
        <w:trPr>
          <w:trHeight w:val="510" w:hRule="atLeast"/>
        </w:trPr>
        <w:tc>
          <w:tcPr>
            <w:tcW w:w="2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bidi w:val="0"/>
              <w:rPr>
                <w:rFonts w:hint="eastAsia"/>
                <w:color w:val="auto"/>
              </w:rPr>
            </w:pPr>
            <w:r>
              <w:rPr>
                <w:rFonts w:hint="eastAsia"/>
                <w:color w:val="auto"/>
                <w:lang w:val="en-US" w:eastAsia="zh-CN"/>
              </w:rPr>
              <w:t>林草覆盖率</w:t>
            </w:r>
          </w:p>
        </w:tc>
        <w:tc>
          <w:tcPr>
            <w:tcW w:w="10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bidi w:val="0"/>
              <w:rPr>
                <w:rFonts w:hint="default"/>
                <w:color w:val="auto"/>
              </w:rPr>
            </w:pPr>
            <w:r>
              <w:rPr>
                <w:rFonts w:hint="default"/>
                <w:color w:val="auto"/>
                <w:lang w:val="en-US" w:eastAsia="zh-CN"/>
              </w:rPr>
              <w:t>%</w:t>
            </w:r>
          </w:p>
        </w:tc>
        <w:tc>
          <w:tcPr>
            <w:tcW w:w="17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rPr>
                <w:rFonts w:hint="default"/>
                <w:color w:val="auto"/>
              </w:rPr>
            </w:pPr>
            <w:r>
              <w:rPr>
                <w:color w:val="auto"/>
              </w:rPr>
              <w:t>27</w:t>
            </w:r>
          </w:p>
        </w:tc>
        <w:tc>
          <w:tcPr>
            <w:tcW w:w="17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rPr>
                <w:rFonts w:hint="default"/>
                <w:color w:val="auto"/>
              </w:rPr>
            </w:pPr>
            <w:r>
              <w:rPr>
                <w:rFonts w:hint="eastAsia"/>
                <w:color w:val="auto"/>
                <w:lang w:val="en-US" w:eastAsia="zh-CN"/>
              </w:rPr>
              <w:t>35.98</w:t>
            </w:r>
          </w:p>
        </w:tc>
        <w:tc>
          <w:tcPr>
            <w:tcW w:w="17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6"/>
              <w:bidi w:val="0"/>
              <w:rPr>
                <w:rFonts w:hint="eastAsia"/>
                <w:color w:val="auto"/>
              </w:rPr>
            </w:pPr>
            <w:r>
              <w:rPr>
                <w:rFonts w:hint="eastAsia"/>
                <w:color w:val="auto"/>
                <w:lang w:val="en-US" w:eastAsia="zh-CN"/>
              </w:rPr>
              <w:t>达标</w:t>
            </w:r>
          </w:p>
        </w:tc>
      </w:tr>
    </w:tbl>
    <w:p>
      <w:pPr>
        <w:bidi w:val="0"/>
        <w:rPr>
          <w:rFonts w:hint="eastAsia"/>
          <w:color w:val="auto"/>
          <w:lang w:eastAsia="zh-CN"/>
        </w:rPr>
      </w:pPr>
    </w:p>
    <w:p>
      <w:pPr>
        <w:rPr>
          <w:rFonts w:hint="default"/>
          <w:color w:val="auto"/>
          <w:position w:val="-26"/>
          <w:highlight w:val="none"/>
          <w:lang w:eastAsia="zh-CN"/>
        </w:rPr>
      </w:pPr>
      <w:r>
        <w:rPr>
          <w:rFonts w:hint="eastAsia"/>
          <w:color w:val="auto"/>
          <w:lang w:eastAsia="zh-CN"/>
        </w:rPr>
        <w:t>综上所述，项目建设区大部分可绿化区域已覆土绿化，本项目建设区水土保持措施总体布局合理，已实施治理区域效果较为明显，充分发挥了防治水土流失的效果。调查结果表明，截止至20</w:t>
      </w:r>
      <w:r>
        <w:rPr>
          <w:rFonts w:hint="eastAsia"/>
          <w:color w:val="auto"/>
          <w:lang w:val="en-US" w:eastAsia="zh-CN"/>
        </w:rPr>
        <w:t>20</w:t>
      </w:r>
      <w:r>
        <w:rPr>
          <w:rFonts w:hint="eastAsia"/>
          <w:color w:val="auto"/>
          <w:lang w:eastAsia="zh-CN"/>
        </w:rPr>
        <w:t>年</w:t>
      </w:r>
      <w:r>
        <w:rPr>
          <w:rFonts w:hint="eastAsia"/>
          <w:color w:val="auto"/>
          <w:lang w:val="en-US" w:eastAsia="zh-CN"/>
        </w:rPr>
        <w:t>10</w:t>
      </w:r>
      <w:r>
        <w:rPr>
          <w:rFonts w:hint="eastAsia"/>
          <w:color w:val="auto"/>
          <w:lang w:eastAsia="zh-CN"/>
        </w:rPr>
        <w:t>月，六项指标全部达到并超过《开发建设项目水土流失防治标准》（GB50434-2008）中建设生产类一级标准及《G320线普安江西坡至三板桥段改扩建工程水土保持方案报告书》（报批稿）的防治目标，但根据现场实际情况，现场部分区域林草植被恢复效果及长势还较差，建设单位后期应加强植被的管理与维护，提高项目区内的林草植被覆盖面积，减少水土流失。</w:t>
      </w:r>
    </w:p>
    <w:p>
      <w:pPr>
        <w:snapToGrid w:val="0"/>
        <w:spacing w:line="360" w:lineRule="auto"/>
        <w:ind w:left="0" w:leftChars="0" w:firstLine="0" w:firstLineChars="0"/>
        <w:rPr>
          <w:rFonts w:hint="default" w:ascii="Times New Roman" w:hAnsi="Times New Roman" w:eastAsia="仿宋_GB2312" w:cs="Times New Roman"/>
          <w:color w:val="auto"/>
          <w:spacing w:val="0"/>
          <w:position w:val="-28"/>
          <w:sz w:val="24"/>
        </w:rPr>
        <w:sectPr>
          <w:pgSz w:w="11906" w:h="16838"/>
          <w:pgMar w:top="1440" w:right="1418" w:bottom="1440" w:left="1701" w:header="851" w:footer="992" w:gutter="0"/>
          <w:pgBorders>
            <w:top w:val="none" w:sz="0" w:space="0"/>
            <w:left w:val="none" w:sz="0" w:space="0"/>
            <w:bottom w:val="none" w:sz="0" w:space="0"/>
            <w:right w:val="none" w:sz="0" w:space="0"/>
          </w:pgBorders>
          <w:pgNumType w:fmt="decimal"/>
          <w:cols w:space="720" w:num="1"/>
          <w:docGrid w:linePitch="326" w:charSpace="0"/>
        </w:sectPr>
      </w:pPr>
    </w:p>
    <w:p>
      <w:pPr>
        <w:pStyle w:val="2"/>
        <w:rPr>
          <w:rFonts w:hint="default"/>
          <w:color w:val="auto"/>
        </w:rPr>
      </w:pPr>
      <w:bookmarkStart w:id="176" w:name="_Toc371174629"/>
      <w:bookmarkStart w:id="177" w:name="_Toc400530804"/>
      <w:bookmarkStart w:id="178" w:name="_Toc4193"/>
      <w:bookmarkStart w:id="179" w:name="_Toc400529703"/>
      <w:r>
        <w:rPr>
          <w:rFonts w:hint="default"/>
          <w:color w:val="auto"/>
        </w:rPr>
        <w:t>7 结论</w:t>
      </w:r>
      <w:bookmarkEnd w:id="176"/>
      <w:bookmarkEnd w:id="177"/>
      <w:bookmarkEnd w:id="178"/>
      <w:bookmarkEnd w:id="179"/>
    </w:p>
    <w:p>
      <w:pPr>
        <w:pStyle w:val="3"/>
        <w:rPr>
          <w:rFonts w:hint="default"/>
          <w:color w:val="auto"/>
        </w:rPr>
      </w:pPr>
      <w:bookmarkStart w:id="180" w:name="_Toc400530805"/>
      <w:bookmarkStart w:id="181" w:name="_Toc371174630"/>
      <w:bookmarkStart w:id="182" w:name="_Toc400529704"/>
      <w:bookmarkStart w:id="183" w:name="_Toc7288"/>
      <w:r>
        <w:rPr>
          <w:rFonts w:hint="default"/>
          <w:color w:val="auto"/>
        </w:rPr>
        <w:t>7.1水土流失动态变化</w:t>
      </w:r>
      <w:bookmarkEnd w:id="180"/>
      <w:bookmarkEnd w:id="181"/>
      <w:bookmarkEnd w:id="182"/>
      <w:bookmarkEnd w:id="183"/>
    </w:p>
    <w:p>
      <w:pPr>
        <w:rPr>
          <w:rFonts w:hint="eastAsia"/>
          <w:color w:val="auto"/>
          <w:lang w:eastAsia="zh-CN"/>
        </w:rPr>
      </w:pPr>
      <w:r>
        <w:rPr>
          <w:rFonts w:hint="default"/>
          <w:color w:val="auto"/>
        </w:rPr>
        <w:t>项目建设前：</w:t>
      </w:r>
      <w:r>
        <w:rPr>
          <w:color w:val="auto"/>
        </w:rPr>
        <w:t>根据《方案（报批稿）》，工程建设前项目建设区土壤侵蚀模数为</w:t>
      </w:r>
      <w:r>
        <w:rPr>
          <w:rFonts w:hint="eastAsia"/>
          <w:color w:val="auto"/>
          <w:lang w:val="en-US" w:eastAsia="zh-CN"/>
        </w:rPr>
        <w:t>566.55</w:t>
      </w:r>
      <w:r>
        <w:rPr>
          <w:color w:val="auto"/>
        </w:rPr>
        <w:t>t/k</w:t>
      </w:r>
      <w:r>
        <w:rPr>
          <w:rFonts w:hint="eastAsia"/>
          <w:color w:val="auto"/>
          <w:lang w:eastAsia="zh-CN"/>
        </w:rPr>
        <w:t>m</w:t>
      </w:r>
      <w:r>
        <w:rPr>
          <w:rFonts w:hint="eastAsia"/>
          <w:color w:val="auto"/>
          <w:vertAlign w:val="superscript"/>
          <w:lang w:val="en-US" w:eastAsia="zh-CN"/>
        </w:rPr>
        <w:t>2</w:t>
      </w:r>
      <w:r>
        <w:rPr>
          <w:color w:val="auto"/>
        </w:rPr>
        <w:t>•a，年土壤流失量约为</w:t>
      </w:r>
      <w:r>
        <w:rPr>
          <w:rFonts w:hint="eastAsia"/>
          <w:color w:val="auto"/>
          <w:lang w:val="en-US" w:eastAsia="zh-CN"/>
        </w:rPr>
        <w:t>363.44</w:t>
      </w:r>
      <w:r>
        <w:rPr>
          <w:color w:val="auto"/>
        </w:rPr>
        <w:t>t/a</w:t>
      </w:r>
      <w:r>
        <w:rPr>
          <w:rFonts w:hint="eastAsia"/>
          <w:color w:val="auto"/>
          <w:lang w:eastAsia="zh-CN"/>
        </w:rPr>
        <w:t>。</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项目建设中：监测结果显示，截止20</w:t>
      </w:r>
      <w:r>
        <w:rPr>
          <w:rFonts w:hint="eastAsia" w:cs="Times New Roman"/>
          <w:color w:val="auto"/>
          <w:spacing w:val="0"/>
          <w:sz w:val="24"/>
          <w:lang w:val="en-US" w:eastAsia="zh-CN"/>
        </w:rPr>
        <w:t>20</w:t>
      </w:r>
      <w:r>
        <w:rPr>
          <w:rFonts w:hint="default" w:ascii="Times New Roman" w:hAnsi="Times New Roman" w:eastAsia="仿宋_GB2312" w:cs="Times New Roman"/>
          <w:color w:val="auto"/>
          <w:spacing w:val="0"/>
          <w:sz w:val="24"/>
        </w:rPr>
        <w:t>年</w:t>
      </w:r>
      <w:r>
        <w:rPr>
          <w:rFonts w:hint="eastAsia" w:cs="Times New Roman"/>
          <w:color w:val="auto"/>
          <w:spacing w:val="0"/>
          <w:sz w:val="24"/>
          <w:lang w:val="en-US" w:eastAsia="zh-CN"/>
        </w:rPr>
        <w:t>5</w:t>
      </w:r>
      <w:r>
        <w:rPr>
          <w:rFonts w:hint="default" w:ascii="Times New Roman" w:hAnsi="Times New Roman" w:eastAsia="仿宋_GB2312" w:cs="Times New Roman"/>
          <w:color w:val="auto"/>
          <w:spacing w:val="0"/>
          <w:sz w:val="24"/>
        </w:rPr>
        <w:t>月项目施工建设期间，项目建设区实际征占地面积为</w:t>
      </w:r>
      <w:r>
        <w:rPr>
          <w:rFonts w:hint="eastAsia" w:cs="Times New Roman"/>
          <w:color w:val="auto"/>
          <w:spacing w:val="0"/>
          <w:sz w:val="24"/>
          <w:lang w:val="en-US" w:eastAsia="zh-CN"/>
        </w:rPr>
        <w:t>64.15</w:t>
      </w:r>
      <w:r>
        <w:rPr>
          <w:rFonts w:hint="default" w:ascii="Times New Roman" w:hAnsi="Times New Roman" w:eastAsia="仿宋_GB2312" w:cs="Times New Roman"/>
          <w:color w:val="auto"/>
          <w:spacing w:val="0"/>
          <w:sz w:val="24"/>
        </w:rPr>
        <w:t>h</w:t>
      </w:r>
      <w:r>
        <w:rPr>
          <w:rFonts w:hint="eastAsia" w:cs="Times New Roman"/>
          <w:color w:val="auto"/>
          <w:spacing w:val="0"/>
          <w:sz w:val="24"/>
          <w:lang w:eastAsia="zh-CN"/>
        </w:rPr>
        <w:t>m</w:t>
      </w:r>
      <w:r>
        <w:rPr>
          <w:rFonts w:hint="eastAsia" w:cs="Times New Roman"/>
          <w:color w:val="auto"/>
          <w:spacing w:val="0"/>
          <w:sz w:val="24"/>
          <w:vertAlign w:val="superscript"/>
          <w:lang w:val="en-US" w:eastAsia="zh-CN"/>
        </w:rPr>
        <w:t>2</w:t>
      </w:r>
      <w:r>
        <w:rPr>
          <w:rFonts w:hint="default" w:ascii="Times New Roman" w:hAnsi="Times New Roman" w:eastAsia="仿宋_GB2312" w:cs="Times New Roman"/>
          <w:color w:val="auto"/>
          <w:spacing w:val="0"/>
          <w:sz w:val="24"/>
        </w:rPr>
        <w:t>，项目区水土流失状况为：土壤侵蚀模数为</w:t>
      </w:r>
      <w:r>
        <w:rPr>
          <w:rFonts w:hint="eastAsia" w:cs="Times New Roman"/>
          <w:color w:val="auto"/>
          <w:spacing w:val="0"/>
          <w:sz w:val="24"/>
          <w:lang w:val="en-US" w:eastAsia="zh-CN"/>
        </w:rPr>
        <w:t>569.56</w:t>
      </w:r>
      <w:r>
        <w:rPr>
          <w:rFonts w:hint="default" w:ascii="Times New Roman" w:hAnsi="Times New Roman" w:eastAsia="仿宋_GB2312" w:cs="Times New Roman"/>
          <w:color w:val="auto"/>
          <w:spacing w:val="0"/>
          <w:sz w:val="24"/>
        </w:rPr>
        <w:t>t/k</w:t>
      </w:r>
      <w:r>
        <w:rPr>
          <w:rFonts w:hint="eastAsia" w:cs="Times New Roman"/>
          <w:color w:val="auto"/>
          <w:spacing w:val="0"/>
          <w:sz w:val="24"/>
          <w:lang w:eastAsia="zh-CN"/>
        </w:rPr>
        <w:t>m²</w:t>
      </w:r>
      <w:r>
        <w:rPr>
          <w:rFonts w:hint="default" w:ascii="Times New Roman" w:hAnsi="Times New Roman" w:eastAsia="仿宋_GB2312" w:cs="Times New Roman"/>
          <w:color w:val="auto"/>
          <w:spacing w:val="0"/>
          <w:sz w:val="24"/>
        </w:rPr>
        <w:t>·a，年均水土流失量</w:t>
      </w:r>
      <w:r>
        <w:rPr>
          <w:rFonts w:hint="eastAsia" w:cs="Times New Roman"/>
          <w:color w:val="auto"/>
          <w:spacing w:val="0"/>
          <w:sz w:val="24"/>
          <w:lang w:val="en-US" w:eastAsia="zh-CN"/>
        </w:rPr>
        <w:t>385.14</w:t>
      </w:r>
      <w:r>
        <w:rPr>
          <w:rFonts w:hint="default" w:ascii="Times New Roman" w:hAnsi="Times New Roman" w:eastAsia="仿宋_GB2312" w:cs="Times New Roman"/>
          <w:color w:val="auto"/>
          <w:spacing w:val="0"/>
          <w:sz w:val="24"/>
        </w:rPr>
        <w:t>t。</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项目建成后：监测结果显示，截止20</w:t>
      </w:r>
      <w:r>
        <w:rPr>
          <w:rFonts w:hint="eastAsia" w:cs="Times New Roman"/>
          <w:color w:val="auto"/>
          <w:spacing w:val="0"/>
          <w:sz w:val="24"/>
          <w:lang w:val="en-US" w:eastAsia="zh-CN"/>
        </w:rPr>
        <w:t>20</w:t>
      </w:r>
      <w:r>
        <w:rPr>
          <w:rFonts w:hint="default" w:ascii="Times New Roman" w:hAnsi="Times New Roman" w:eastAsia="仿宋_GB2312" w:cs="Times New Roman"/>
          <w:color w:val="auto"/>
          <w:spacing w:val="0"/>
          <w:sz w:val="24"/>
        </w:rPr>
        <w:t>年</w:t>
      </w:r>
      <w:r>
        <w:rPr>
          <w:rFonts w:hint="eastAsia" w:cs="Times New Roman"/>
          <w:color w:val="auto"/>
          <w:spacing w:val="0"/>
          <w:sz w:val="24"/>
          <w:lang w:val="en-US" w:eastAsia="zh-CN"/>
        </w:rPr>
        <w:t>10</w:t>
      </w:r>
      <w:r>
        <w:rPr>
          <w:rFonts w:hint="default" w:ascii="Times New Roman" w:hAnsi="Times New Roman" w:eastAsia="仿宋_GB2312" w:cs="Times New Roman"/>
          <w:color w:val="auto"/>
          <w:spacing w:val="0"/>
          <w:sz w:val="24"/>
        </w:rPr>
        <w:t>月，项目建设区已扰动地表面积为</w:t>
      </w:r>
      <w:r>
        <w:rPr>
          <w:rFonts w:hint="eastAsia" w:cs="Times New Roman"/>
          <w:color w:val="auto"/>
          <w:spacing w:val="0"/>
          <w:sz w:val="24"/>
          <w:lang w:val="en-US" w:eastAsia="zh-CN"/>
        </w:rPr>
        <w:t>64.15</w:t>
      </w:r>
      <w:r>
        <w:rPr>
          <w:rFonts w:hint="default" w:ascii="Times New Roman" w:hAnsi="Times New Roman" w:eastAsia="仿宋_GB2312" w:cs="Times New Roman"/>
          <w:color w:val="auto"/>
          <w:spacing w:val="0"/>
          <w:sz w:val="24"/>
        </w:rPr>
        <w:t>h</w:t>
      </w:r>
      <w:r>
        <w:rPr>
          <w:rFonts w:hint="eastAsia" w:cs="Times New Roman"/>
          <w:color w:val="auto"/>
          <w:spacing w:val="0"/>
          <w:sz w:val="24"/>
          <w:lang w:eastAsia="zh-CN"/>
        </w:rPr>
        <w:t>m</w:t>
      </w:r>
      <w:r>
        <w:rPr>
          <w:rFonts w:hint="eastAsia" w:cs="Times New Roman"/>
          <w:color w:val="auto"/>
          <w:spacing w:val="0"/>
          <w:sz w:val="24"/>
          <w:vertAlign w:val="superscript"/>
          <w:lang w:val="en-US" w:eastAsia="zh-CN"/>
        </w:rPr>
        <w:t>2</w:t>
      </w:r>
      <w:r>
        <w:rPr>
          <w:rFonts w:hint="default" w:ascii="Times New Roman" w:hAnsi="Times New Roman" w:eastAsia="仿宋_GB2312" w:cs="Times New Roman"/>
          <w:color w:val="auto"/>
          <w:spacing w:val="0"/>
          <w:sz w:val="24"/>
        </w:rPr>
        <w:t>，平均土壤侵蚀模数</w:t>
      </w:r>
      <w:r>
        <w:rPr>
          <w:rFonts w:hint="eastAsia" w:cs="Times New Roman"/>
          <w:color w:val="auto"/>
          <w:spacing w:val="0"/>
          <w:sz w:val="24"/>
          <w:lang w:val="en-US" w:eastAsia="zh-CN"/>
        </w:rPr>
        <w:t>454.18</w:t>
      </w:r>
      <w:r>
        <w:rPr>
          <w:rFonts w:hint="default" w:ascii="Times New Roman" w:hAnsi="Times New Roman" w:eastAsia="仿宋_GB2312" w:cs="Times New Roman"/>
          <w:color w:val="auto"/>
          <w:spacing w:val="0"/>
          <w:sz w:val="24"/>
        </w:rPr>
        <w:t>t/km²·a，自然恢复期土壤流失量为</w:t>
      </w:r>
      <w:r>
        <w:rPr>
          <w:rFonts w:hint="eastAsia" w:cs="Times New Roman"/>
          <w:color w:val="auto"/>
          <w:spacing w:val="0"/>
          <w:sz w:val="24"/>
          <w:lang w:val="en-US" w:eastAsia="zh-CN"/>
        </w:rPr>
        <w:t>76.78</w:t>
      </w:r>
      <w:r>
        <w:rPr>
          <w:rFonts w:hint="default" w:ascii="Times New Roman" w:hAnsi="Times New Roman" w:eastAsia="仿宋_GB2312" w:cs="Times New Roman"/>
          <w:color w:val="auto"/>
          <w:spacing w:val="0"/>
          <w:sz w:val="24"/>
        </w:rPr>
        <w:t>t。</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根据监测点观测数据，结合实地调查所得资料分析，在监测时段内（</w:t>
      </w:r>
      <w:r>
        <w:rPr>
          <w:rFonts w:hint="eastAsia" w:cs="Times New Roman"/>
          <w:color w:val="auto"/>
          <w:spacing w:val="0"/>
          <w:sz w:val="24"/>
          <w:lang w:val="en-US" w:eastAsia="zh-CN"/>
        </w:rPr>
        <w:t>2018</w:t>
      </w:r>
      <w:r>
        <w:rPr>
          <w:rFonts w:hint="default" w:ascii="Times New Roman" w:hAnsi="Times New Roman" w:eastAsia="仿宋_GB2312" w:cs="Times New Roman"/>
          <w:color w:val="auto"/>
          <w:spacing w:val="0"/>
          <w:sz w:val="24"/>
        </w:rPr>
        <w:t>年</w:t>
      </w:r>
      <w:r>
        <w:rPr>
          <w:rFonts w:hint="eastAsia" w:cs="Times New Roman"/>
          <w:color w:val="auto"/>
          <w:spacing w:val="0"/>
          <w:sz w:val="24"/>
          <w:lang w:val="en-US" w:eastAsia="zh-CN"/>
        </w:rPr>
        <w:t>6</w:t>
      </w:r>
      <w:r>
        <w:rPr>
          <w:rFonts w:hint="default" w:ascii="Times New Roman" w:hAnsi="Times New Roman" w:eastAsia="仿宋_GB2312" w:cs="Times New Roman"/>
          <w:color w:val="auto"/>
          <w:spacing w:val="0"/>
          <w:sz w:val="24"/>
        </w:rPr>
        <w:t>月～20</w:t>
      </w:r>
      <w:r>
        <w:rPr>
          <w:rFonts w:hint="eastAsia" w:cs="Times New Roman"/>
          <w:color w:val="auto"/>
          <w:spacing w:val="0"/>
          <w:sz w:val="24"/>
          <w:lang w:val="en-US" w:eastAsia="zh-CN"/>
        </w:rPr>
        <w:t>20</w:t>
      </w:r>
      <w:r>
        <w:rPr>
          <w:rFonts w:hint="default" w:ascii="Times New Roman" w:hAnsi="Times New Roman" w:eastAsia="仿宋_GB2312" w:cs="Times New Roman"/>
          <w:color w:val="auto"/>
          <w:spacing w:val="0"/>
          <w:sz w:val="24"/>
        </w:rPr>
        <w:t>年</w:t>
      </w:r>
      <w:r>
        <w:rPr>
          <w:rFonts w:hint="eastAsia" w:cs="Times New Roman"/>
          <w:color w:val="auto"/>
          <w:spacing w:val="0"/>
          <w:sz w:val="24"/>
          <w:lang w:val="en-US" w:eastAsia="zh-CN"/>
        </w:rPr>
        <w:t>5</w:t>
      </w:r>
      <w:r>
        <w:rPr>
          <w:rFonts w:hint="default" w:ascii="Times New Roman" w:hAnsi="Times New Roman" w:eastAsia="仿宋_GB2312" w:cs="Times New Roman"/>
          <w:color w:val="auto"/>
          <w:spacing w:val="0"/>
          <w:sz w:val="24"/>
        </w:rPr>
        <w:t>月），本工程扰动区域共产生土壤流失量</w:t>
      </w:r>
      <w:r>
        <w:rPr>
          <w:rFonts w:hint="eastAsia" w:cs="Times New Roman"/>
          <w:color w:val="auto"/>
          <w:spacing w:val="0"/>
          <w:sz w:val="24"/>
          <w:lang w:val="en-US" w:eastAsia="zh-CN"/>
        </w:rPr>
        <w:t>385.14</w:t>
      </w:r>
      <w:r>
        <w:rPr>
          <w:rFonts w:hint="default" w:ascii="Times New Roman" w:hAnsi="Times New Roman" w:eastAsia="仿宋_GB2312" w:cs="Times New Roman"/>
          <w:color w:val="auto"/>
          <w:spacing w:val="0"/>
          <w:sz w:val="24"/>
        </w:rPr>
        <w:t>t，在项目</w:t>
      </w:r>
      <w:r>
        <w:rPr>
          <w:rFonts w:hint="eastAsia" w:cs="Times New Roman"/>
          <w:color w:val="auto"/>
          <w:spacing w:val="0"/>
          <w:sz w:val="24"/>
          <w:lang w:eastAsia="zh-CN"/>
        </w:rPr>
        <w:t>基本建成</w:t>
      </w:r>
      <w:r>
        <w:rPr>
          <w:rFonts w:hint="default" w:ascii="Times New Roman" w:hAnsi="Times New Roman" w:eastAsia="仿宋_GB2312" w:cs="Times New Roman"/>
          <w:color w:val="auto"/>
          <w:spacing w:val="0"/>
          <w:sz w:val="24"/>
        </w:rPr>
        <w:t>之后的监测时段内（</w:t>
      </w:r>
      <w:r>
        <w:rPr>
          <w:rFonts w:hint="eastAsia" w:cs="Times New Roman"/>
          <w:color w:val="auto"/>
          <w:spacing w:val="0"/>
          <w:sz w:val="24"/>
          <w:lang w:val="en-US" w:eastAsia="zh-CN"/>
        </w:rPr>
        <w:t>2020</w:t>
      </w:r>
      <w:r>
        <w:rPr>
          <w:rFonts w:hint="default" w:ascii="Times New Roman" w:hAnsi="Times New Roman" w:eastAsia="仿宋_GB2312" w:cs="Times New Roman"/>
          <w:color w:val="auto"/>
          <w:spacing w:val="0"/>
          <w:sz w:val="24"/>
        </w:rPr>
        <w:t>年</w:t>
      </w:r>
      <w:r>
        <w:rPr>
          <w:rFonts w:hint="eastAsia" w:cs="Times New Roman"/>
          <w:color w:val="auto"/>
          <w:spacing w:val="0"/>
          <w:sz w:val="24"/>
          <w:lang w:val="en-US" w:eastAsia="zh-CN"/>
        </w:rPr>
        <w:t>10</w:t>
      </w:r>
      <w:r>
        <w:rPr>
          <w:rFonts w:hint="default" w:ascii="Times New Roman" w:hAnsi="Times New Roman" w:eastAsia="仿宋_GB2312" w:cs="Times New Roman"/>
          <w:color w:val="auto"/>
          <w:spacing w:val="0"/>
          <w:sz w:val="24"/>
        </w:rPr>
        <w:t>月～20</w:t>
      </w:r>
      <w:r>
        <w:rPr>
          <w:rFonts w:hint="eastAsia" w:cs="Times New Roman"/>
          <w:color w:val="auto"/>
          <w:spacing w:val="0"/>
          <w:sz w:val="24"/>
          <w:lang w:val="en-US" w:eastAsia="zh-CN"/>
        </w:rPr>
        <w:t>20</w:t>
      </w:r>
      <w:r>
        <w:rPr>
          <w:rFonts w:hint="default" w:ascii="Times New Roman" w:hAnsi="Times New Roman" w:eastAsia="仿宋_GB2312" w:cs="Times New Roman"/>
          <w:color w:val="auto"/>
          <w:spacing w:val="0"/>
          <w:sz w:val="24"/>
        </w:rPr>
        <w:t>年</w:t>
      </w:r>
      <w:r>
        <w:rPr>
          <w:rFonts w:hint="eastAsia" w:cs="Times New Roman"/>
          <w:color w:val="auto"/>
          <w:spacing w:val="0"/>
          <w:sz w:val="24"/>
          <w:lang w:val="en-US" w:eastAsia="zh-CN"/>
        </w:rPr>
        <w:t>10</w:t>
      </w:r>
      <w:r>
        <w:rPr>
          <w:rFonts w:hint="default" w:ascii="Times New Roman" w:hAnsi="Times New Roman" w:eastAsia="仿宋_GB2312" w:cs="Times New Roman"/>
          <w:color w:val="auto"/>
          <w:spacing w:val="0"/>
          <w:sz w:val="24"/>
        </w:rPr>
        <w:t>月），本工程扰动区域共产生土壤流失量</w:t>
      </w:r>
      <w:r>
        <w:rPr>
          <w:rFonts w:hint="eastAsia" w:cs="Times New Roman"/>
          <w:color w:val="auto"/>
          <w:spacing w:val="0"/>
          <w:sz w:val="24"/>
          <w:lang w:val="en-US" w:eastAsia="zh-CN"/>
        </w:rPr>
        <w:t>76.78</w:t>
      </w:r>
      <w:r>
        <w:rPr>
          <w:rFonts w:hint="default" w:ascii="Times New Roman" w:hAnsi="Times New Roman" w:eastAsia="仿宋_GB2312" w:cs="Times New Roman"/>
          <w:color w:val="auto"/>
          <w:spacing w:val="0"/>
          <w:sz w:val="24"/>
        </w:rPr>
        <w:t>t。</w:t>
      </w:r>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通过监测实地调查，结合建设单位提供资料，在工程施工过程中，建设单位实施了一系列的水土流失防治措施，有效减轻了因施工建设造成的水土流失。结合水土流失防治指标动态监测结果的对比分析，可以看出，随着项目区水土保持工程措施的逐步完善，项目建设区无水土流失面积及微度流失面积大幅增加，轻度流失面积大幅减少，从项目建设区现状来看，</w:t>
      </w:r>
      <w:r>
        <w:rPr>
          <w:rFonts w:hint="eastAsia" w:cs="Times New Roman"/>
          <w:color w:val="auto"/>
          <w:spacing w:val="0"/>
          <w:sz w:val="24"/>
          <w:lang w:eastAsia="zh-CN"/>
        </w:rPr>
        <w:t>水土流失较</w:t>
      </w:r>
      <w:r>
        <w:rPr>
          <w:rFonts w:hint="eastAsia" w:cs="Times New Roman"/>
          <w:color w:val="auto"/>
          <w:spacing w:val="0"/>
          <w:sz w:val="24"/>
          <w:lang w:val="en-US" w:eastAsia="zh-CN"/>
        </w:rPr>
        <w:t>弃渣场区和取料场区</w:t>
      </w:r>
      <w:r>
        <w:rPr>
          <w:rFonts w:hint="default" w:ascii="Times New Roman" w:hAnsi="Times New Roman" w:eastAsia="仿宋_GB2312" w:cs="Times New Roman"/>
          <w:color w:val="auto"/>
          <w:spacing w:val="0"/>
          <w:sz w:val="24"/>
        </w:rPr>
        <w:t>，以上两个区域是后续运行过程中，建设单位需要重视及完善的区域。</w:t>
      </w:r>
    </w:p>
    <w:p>
      <w:pPr>
        <w:pStyle w:val="3"/>
        <w:rPr>
          <w:rFonts w:hint="default"/>
          <w:color w:val="auto"/>
        </w:rPr>
      </w:pPr>
      <w:bookmarkStart w:id="184" w:name="_Toc14558"/>
      <w:bookmarkStart w:id="185" w:name="_Toc371174631"/>
      <w:bookmarkStart w:id="186" w:name="_Toc400529705"/>
      <w:bookmarkStart w:id="187" w:name="_Toc400530806"/>
      <w:r>
        <w:rPr>
          <w:rFonts w:hint="default"/>
          <w:color w:val="auto"/>
        </w:rPr>
        <w:t>7.2水土保持措施评价</w:t>
      </w:r>
      <w:bookmarkEnd w:id="184"/>
      <w:bookmarkEnd w:id="185"/>
      <w:bookmarkEnd w:id="186"/>
      <w:bookmarkEnd w:id="187"/>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建设单位按法律法规要求，编制了水土保持方案报告书，明确了水土保持工程建设的管理部门和联系人，并在与主体工程施工单位签订的合同中明确提出了水土保持的相关内容；在项目建设过程中因害设防，根据需要及时实施了部分拦挡、护坡及植被绿化等措施，这些水土保持措施对建设过程中的水土流失防治发挥了明显的作用。但是相对于主体工程而言，相当一部分水土保持措施实施进度相对滞后。监测结果显示，建设单位在建设过程中，各防治分区采取了适宜的水土保持工程措施、植物措施和临时措施，水土保持措施的总体布局较为合理，防治效果比较明显，有效地减少了项目建设过程中造成的水土流失量，达到了《方案（报批稿）》中的设计要求；但建设单位应抓紧时间对施工扰动未治理区域和</w:t>
      </w:r>
      <w:r>
        <w:rPr>
          <w:rFonts w:hint="eastAsia" w:cs="Times New Roman"/>
          <w:color w:val="auto"/>
          <w:spacing w:val="0"/>
          <w:sz w:val="24"/>
          <w:lang w:val="en-US" w:eastAsia="zh-CN"/>
        </w:rPr>
        <w:t>弃土场和取料场增加</w:t>
      </w:r>
      <w:r>
        <w:rPr>
          <w:rFonts w:hint="default" w:ascii="Times New Roman" w:hAnsi="Times New Roman" w:eastAsia="仿宋_GB2312" w:cs="Times New Roman"/>
          <w:color w:val="auto"/>
          <w:spacing w:val="0"/>
          <w:sz w:val="24"/>
        </w:rPr>
        <w:t>实施相应的水土保持措施，更大程度全面有效地防治水土流失。</w:t>
      </w:r>
    </w:p>
    <w:p>
      <w:pPr>
        <w:pStyle w:val="3"/>
        <w:rPr>
          <w:rFonts w:hint="default"/>
          <w:color w:val="auto"/>
        </w:rPr>
      </w:pPr>
      <w:bookmarkStart w:id="188" w:name="_Toc371174632"/>
      <w:bookmarkStart w:id="189" w:name="_Toc400529706"/>
      <w:bookmarkStart w:id="190" w:name="_Toc400530807"/>
      <w:bookmarkStart w:id="191" w:name="_Toc27549"/>
      <w:r>
        <w:rPr>
          <w:rFonts w:hint="default"/>
          <w:color w:val="auto"/>
        </w:rPr>
        <w:t>7.3存在问题及建议</w:t>
      </w:r>
      <w:bookmarkEnd w:id="188"/>
      <w:bookmarkEnd w:id="189"/>
      <w:bookmarkEnd w:id="190"/>
      <w:bookmarkEnd w:id="191"/>
    </w:p>
    <w:p>
      <w:pPr>
        <w:rPr>
          <w:rFonts w:hint="default" w:ascii="Times New Roman" w:hAnsi="Times New Roman" w:eastAsia="仿宋_GB2312" w:cs="Times New Roman"/>
          <w:color w:val="auto"/>
          <w:spacing w:val="0"/>
          <w:sz w:val="24"/>
        </w:rPr>
      </w:pPr>
      <w:r>
        <w:rPr>
          <w:rFonts w:hint="default" w:ascii="Times New Roman" w:hAnsi="Times New Roman" w:eastAsia="仿宋_GB2312" w:cs="Times New Roman"/>
          <w:color w:val="auto"/>
          <w:spacing w:val="0"/>
          <w:sz w:val="24"/>
        </w:rPr>
        <w:t>本项目已经实施的水土保持措施布局比较合理，对项目建设活动造成的水土流失发挥了较为明显的防治作用，能有效地控制部分区域的水土流失，但本项目水土保持工作还存在一些问题和不足。</w:t>
      </w:r>
    </w:p>
    <w:p>
      <w:pPr>
        <w:rPr>
          <w:rFonts w:hint="default"/>
          <w:color w:val="auto"/>
        </w:rPr>
      </w:pPr>
      <w:r>
        <w:rPr>
          <w:rFonts w:hint="default"/>
          <w:color w:val="auto"/>
        </w:rPr>
        <w:t>（1）相对于主体工程建设进度而言，相当一部分水土保持措施实施 进度相对滞后，离水土保持“三同时”制度要求还有一定差距，建议建设单位在以后的工程建设活动中认真落实水土保持“三同时”制度，做好项目 建设过程中的水土流失防治工作。</w:t>
      </w:r>
    </w:p>
    <w:p>
      <w:pPr>
        <w:rPr>
          <w:rFonts w:hint="eastAsia"/>
          <w:color w:val="auto"/>
          <w:lang w:eastAsia="zh-CN"/>
        </w:rPr>
      </w:pPr>
      <w:r>
        <w:rPr>
          <w:rFonts w:hint="default"/>
          <w:color w:val="auto"/>
        </w:rPr>
        <w:t>（2）</w:t>
      </w:r>
      <w:r>
        <w:rPr>
          <w:rFonts w:hint="eastAsia"/>
          <w:color w:val="auto"/>
          <w:lang w:eastAsia="zh-CN"/>
        </w:rPr>
        <w:t>本项目料场区域仍存在一定面积的裸露，部分地区植被长势较差，建议建设单位对裸露区域及时进行植被恢复，对长势不好的区域进行补植，以减少水土流失；</w:t>
      </w:r>
    </w:p>
    <w:p>
      <w:pPr>
        <w:rPr>
          <w:rFonts w:hint="default"/>
          <w:color w:val="auto"/>
          <w:lang w:eastAsia="zh-CN"/>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lang w:val="en-US" w:eastAsia="zh-CN"/>
        </w:rPr>
        <w:t>本项目弃渣场区仍有部分区植被长势较差，建设单位须及时对长势较差的区域进行补植，并检查完善弃渣场的拦挡措施，加强弃渣场的稳定性，避免水土流失灾害发生；</w:t>
      </w:r>
    </w:p>
    <w:p>
      <w:pPr>
        <w:rPr>
          <w:rFonts w:hint="default"/>
          <w:color w:val="auto"/>
        </w:rPr>
      </w:pPr>
      <w:r>
        <w:rPr>
          <w:rFonts w:hint="default"/>
          <w:color w:val="auto"/>
        </w:rPr>
        <w:t>（</w:t>
      </w:r>
      <w:r>
        <w:rPr>
          <w:rFonts w:hint="eastAsia"/>
          <w:color w:val="auto"/>
          <w:lang w:val="en-US" w:eastAsia="zh-CN"/>
        </w:rPr>
        <w:t>4</w:t>
      </w:r>
      <w:r>
        <w:rPr>
          <w:rFonts w:hint="default"/>
          <w:color w:val="auto"/>
        </w:rPr>
        <w:t>）水土保持措施在项目运行期间容易损坏，建议项目业主认真落实管护措施，对已损毁的截排水沟、挡墙、护坡等工程措施应及时进行修复，并定期对截排水沟进行清淤；对已破坏的植物措施应及时进行补植补种。</w:t>
      </w:r>
    </w:p>
    <w:p>
      <w:pPr>
        <w:numPr>
          <w:ilvl w:val="0"/>
          <w:numId w:val="0"/>
        </w:numPr>
        <w:rPr>
          <w:rFonts w:hint="eastAsia"/>
          <w:color w:val="auto"/>
          <w:lang w:val="en-US" w:eastAsia="zh-CN"/>
        </w:rPr>
      </w:pPr>
    </w:p>
    <w:sectPr>
      <w:headerReference r:id="rId15" w:type="default"/>
      <w:footerReference r:id="rId1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jc w:val="left"/>
      <w:rPr>
        <w:rFonts w:hint="eastAsia" w:eastAsia="仿宋_GB2312"/>
        <w:sz w:val="18"/>
        <w:szCs w:val="18"/>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jc w:val="left"/>
      <w:rPr>
        <w:rFonts w:hint="eastAsia" w:eastAsia="仿宋_GB2312"/>
        <w:sz w:val="18"/>
        <w:szCs w:val="18"/>
        <w:lang w:eastAsia="zh-CN"/>
      </w:rPr>
    </w:pPr>
    <w:r>
      <w:rPr>
        <w:sz w:val="18"/>
      </w:rPr>
      <mc:AlternateContent>
        <mc:Choice Requires="wps">
          <w:drawing>
            <wp:anchor distT="0" distB="0" distL="114300" distR="114300" simplePos="0" relativeHeight="2516838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仿宋_GB2312"/>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pOhgV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bpOhg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仿宋_GB2312"/>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jc w:val="center"/>
      <w:rPr>
        <w:rFonts w:hint="eastAsia" w:eastAsia="仿宋_GB2312"/>
        <w:sz w:val="18"/>
        <w:szCs w:val="18"/>
        <w:lang w:eastAsia="zh-CN"/>
      </w:rPr>
    </w:pPr>
    <w:r>
      <w:rPr>
        <w:rFonts w:hint="eastAsia"/>
        <w:sz w:val="18"/>
        <w:szCs w:val="18"/>
        <w:lang w:eastAsia="zh-CN"/>
      </w:rPr>
      <w:t>贵州天保生态股份有限公司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0" w:leftChars="0" w:firstLine="0" w:firstLineChars="0"/>
      <w:jc w:val="center"/>
    </w:pPr>
    <w:r>
      <w:rPr>
        <w:rFonts w:hint="eastAsia"/>
        <w:sz w:val="18"/>
        <w:szCs w:val="18"/>
        <w:lang w:eastAsia="zh-CN"/>
      </w:rPr>
      <w:t>贵州天保生态股份有限公司</w:t>
    </w:r>
    <w:r>
      <w:rPr>
        <w:rFonts w:hint="eastAsia" w:ascii="仿宋_GB2312" w:hAnsi="仿宋_GB2312" w:eastAsia="仿宋_GB2312" w:cs="仿宋_GB2312"/>
        <w:sz w:val="24"/>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jc w:val="center"/>
                            <w:rPr>
                              <w:sz w:val="18"/>
                              <w:szCs w:val="18"/>
                            </w:rPr>
                          </w:pPr>
                          <w:r>
                            <w:rPr>
                              <w:sz w:val="18"/>
                              <w:szCs w:val="18"/>
                            </w:rPr>
                            <w:fldChar w:fldCharType="begin"/>
                          </w:r>
                          <w:r>
                            <w:rPr>
                              <w:sz w:val="18"/>
                              <w:szCs w:val="18"/>
                            </w:rPr>
                            <w:instrText xml:space="preserve"> PAGE </w:instrText>
                          </w:r>
                          <w:r>
                            <w:rPr>
                              <w:sz w:val="18"/>
                              <w:szCs w:val="18"/>
                            </w:rPr>
                            <w:fldChar w:fldCharType="separate"/>
                          </w:r>
                          <w:r>
                            <w:rPr>
                              <w:sz w:val="18"/>
                              <w:szCs w:val="18"/>
                            </w:rPr>
                            <w:t>2</w:t>
                          </w:r>
                          <w:r>
                            <w:rPr>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5K3pfhcCAAAVBAAADgAAAAAA&#10;AAABACAAAAAfAQAAZHJzL2Uyb0RvYy54bWxQSwUGAAAAAAYABgBZAQAAqAUAAAAA&#10;">
              <v:fill on="f" focussize="0,0"/>
              <v:stroke on="f" weight="0.5pt"/>
              <v:imagedata o:title=""/>
              <o:lock v:ext="edit" aspectratio="f"/>
              <v:textbox inset="0mm,0mm,0mm,0mm" style="mso-fit-shape-to-text:t;">
                <w:txbxContent>
                  <w:p>
                    <w:pPr>
                      <w:tabs>
                        <w:tab w:val="center" w:pos="4153"/>
                        <w:tab w:val="right" w:pos="8306"/>
                      </w:tabs>
                      <w:jc w:val="center"/>
                      <w:rPr>
                        <w:sz w:val="18"/>
                        <w:szCs w:val="18"/>
                      </w:rPr>
                    </w:pPr>
                    <w:r>
                      <w:rPr>
                        <w:sz w:val="18"/>
                        <w:szCs w:val="18"/>
                      </w:rPr>
                      <w:fldChar w:fldCharType="begin"/>
                    </w:r>
                    <w:r>
                      <w:rPr>
                        <w:sz w:val="18"/>
                        <w:szCs w:val="18"/>
                      </w:rPr>
                      <w:instrText xml:space="preserve"> PAGE </w:instrText>
                    </w:r>
                    <w:r>
                      <w:rPr>
                        <w:sz w:val="18"/>
                        <w:szCs w:val="18"/>
                      </w:rPr>
                      <w:fldChar w:fldCharType="separate"/>
                    </w:r>
                    <w:r>
                      <w:rPr>
                        <w:sz w:val="18"/>
                        <w:szCs w:val="18"/>
                      </w:rPr>
                      <w:t>2</w:t>
                    </w:r>
                    <w:r>
                      <w:rPr>
                        <w:sz w:val="18"/>
                        <w:szCs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left="0" w:leftChars="0" w:firstLine="0" w:firstLineChars="0"/>
      <w:jc w:val="center"/>
      <w:rPr>
        <w:sz w:val="18"/>
      </w:rPr>
    </w:pPr>
    <w:r>
      <w:rPr>
        <w:rFonts w:hint="eastAsia"/>
        <w:sz w:val="18"/>
        <w:szCs w:val="18"/>
        <w:lang w:eastAsia="zh-CN"/>
      </w:rPr>
      <w:t>贵州天保生态股份有限公司</w:t>
    </w: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jc w:val="center"/>
                          </w:pPr>
                          <w:r>
                            <w:fldChar w:fldCharType="begin"/>
                          </w:r>
                          <w:r>
                            <w:instrText xml:space="preserve"> PAGE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7t3o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CiWYKOzr9+H76+fv06xuBDgC11s/gt7HwDN0702HRg95DGefu&#10;KqfijYkI7ID6eIFXdIHwGDSdTKc5TBy24YH82VO4dT68F0aRKBTUYX8JVnZY+9C7Di6xmjarRsq0&#10;Q6lJW9Drq7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H7t3oVAgAAFQQAAA4AAAAAAAAA&#10;AQAgAAAAHwEAAGRycy9lMm9Eb2MueG1sUEsFBgAAAAAGAAYAWQEAAKYFAAAAAA==&#10;">
              <v:fill on="f" focussize="0,0"/>
              <v:stroke on="f" weight="0.5pt"/>
              <v:imagedata o:title=""/>
              <o:lock v:ext="edit" aspectratio="f"/>
              <v:textbox inset="0mm,0mm,0mm,0mm" style="mso-fit-shape-to-text:t;">
                <w:txbxContent>
                  <w:p>
                    <w:pPr>
                      <w:tabs>
                        <w:tab w:val="center" w:pos="4153"/>
                        <w:tab w:val="right" w:pos="8306"/>
                      </w:tabs>
                      <w:jc w:val="center"/>
                    </w:pPr>
                    <w:r>
                      <w:fldChar w:fldCharType="begin"/>
                    </w:r>
                    <w:r>
                      <w:instrText xml:space="preserve"> PAGE </w:instrText>
                    </w:r>
                    <w:r>
                      <w:fldChar w:fldCharType="separate"/>
                    </w:r>
                    <w:r>
                      <w:t>45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left="0" w:leftChars="0" w:firstLine="0" w:firstLineChars="0"/>
      <w:jc w:val="center"/>
      <w:rPr>
        <w:sz w:val="18"/>
        <w:szCs w:val="18"/>
      </w:rPr>
    </w:pPr>
    <w:r>
      <w:rPr>
        <w:rFonts w:hint="eastAsia"/>
        <w:sz w:val="18"/>
        <w:szCs w:val="18"/>
        <w:lang w:eastAsia="zh-CN"/>
      </w:rPr>
      <w:t>贵州天保生态股份有限公司</w:t>
    </w:r>
    <w:r>
      <w:rPr>
        <w:sz w:val="18"/>
        <w:szCs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jc w:val="center"/>
                          </w:pPr>
                          <w:r>
                            <w:fldChar w:fldCharType="begin"/>
                          </w:r>
                          <w:r>
                            <w:instrText xml:space="preserve"> PAGE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tabs>
                        <w:tab w:val="center" w:pos="4153"/>
                        <w:tab w:val="right" w:pos="8306"/>
                      </w:tabs>
                      <w:jc w:val="center"/>
                    </w:pPr>
                    <w:r>
                      <w:fldChar w:fldCharType="begin"/>
                    </w:r>
                    <w:r>
                      <w:instrText xml:space="preserve"> PAGE </w:instrText>
                    </w:r>
                    <w:r>
                      <w:fldChar w:fldCharType="separate"/>
                    </w:r>
                    <w:r>
                      <w:t>45</w:t>
                    </w:r>
                    <w:r>
                      <w:fldChar w:fldCharType="end"/>
                    </w:r>
                  </w:p>
                </w:txbxContent>
              </v:textbox>
            </v:shape>
          </w:pict>
        </mc:Fallback>
      </mc:AlternateContent>
    </w:r>
  </w:p>
  <w:p>
    <w:pPr>
      <w:spacing w:line="14" w:lineRule="auto"/>
      <w:rPr>
        <w:sz w:val="2"/>
      </w:rPr>
    </w:pPr>
    <w:r>
      <w:rPr>
        <w:sz w:val="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仿宋_GB2312"/>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7"/>
                      <w:rPr>
                        <w:rFonts w:hint="eastAsia" w:eastAsia="仿宋_GB2312"/>
                        <w:lang w:eastAsia="zh-C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lang w:eastAsia="zh-CN"/>
      </w:rPr>
      <w:t>生产</w:t>
    </w:r>
    <w:r>
      <w:rPr>
        <w:rFonts w:hint="default"/>
      </w:rPr>
      <w:t>建设项目水土保持监测特性表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default"/>
        <w:lang w:val="en-US" w:eastAsia="zh-CN"/>
      </w:rPr>
    </w:pPr>
    <w:r>
      <w:rPr>
        <w:rFonts w:hint="eastAsia"/>
        <w:lang w:val="en-US" w:eastAsia="zh-CN"/>
      </w:rPr>
      <w:t>1建设项目及水土保持工作</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hint="eastAsia" w:eastAsia="仿宋_GB2312"/>
        <w:lang w:val="en-US" w:eastAsia="zh-CN"/>
      </w:rPr>
    </w:pPr>
    <w:r>
      <w:rPr>
        <w:rFonts w:hint="eastAsia"/>
        <w:lang w:val="en-US" w:eastAsia="zh-CN"/>
      </w:rPr>
      <w:t>2监测内容、方法及过程</w:t>
    </w:r>
    <w:r>
      <w:rPr>
        <w:rFonts w:hint="eastAsia" w:eastAsia="仿宋_GB2312"/>
        <w:lang w:val="en-US" w:eastAsia="zh-CN"/>
      </w:rPr>
      <w:fldChar w:fldCharType="begin"/>
    </w:r>
    <w:r>
      <w:rPr>
        <w:rFonts w:hint="eastAsia" w:eastAsia="仿宋_GB2312"/>
        <w:lang w:val="en-US" w:eastAsia="zh-CN"/>
      </w:rPr>
      <w:instrText xml:space="preserve"> ASK \* MERGEFORMAT </w:instrText>
    </w:r>
    <w:r>
      <w:rPr>
        <w:rFonts w:hint="eastAsia" w:eastAsia="仿宋_GB2312"/>
        <w:lang w:val="en-US" w:eastAsia="zh-CN"/>
      </w:rPr>
      <w:fldChar w:fldCharType="separate"/>
    </w:r>
    <w:r>
      <w:rPr>
        <w:rFonts w:hint="eastAsia" w:eastAsia="仿宋_GB2312"/>
        <w:lang w:val="en-US" w:eastAsia="zh-CN"/>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wordWrap w:val="0"/>
      <w:rPr>
        <w:rFonts w:hint="eastAsia"/>
        <w:lang w:eastAsia="zh-CN"/>
      </w:rPr>
    </w:pPr>
    <w:r>
      <w:rPr>
        <w:rFonts w:hint="eastAsia"/>
        <w:lang w:val="en-US" w:eastAsia="zh-CN"/>
      </w:rPr>
      <w:t>3 重点部位水土流失动态监测结果</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hint="eastAsia"/>
        <w:lang w:val="en-US" w:eastAsia="zh-CN"/>
      </w:rPr>
    </w:pPr>
    <w:r>
      <w:rPr>
        <w:rFonts w:hint="eastAsia"/>
        <w:lang w:val="en-US" w:eastAsia="zh-CN"/>
      </w:rPr>
      <w:t>4 水土流失防治措施监测效果</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hint="eastAsia"/>
        <w:lang w:val="en-US" w:eastAsia="zh-CN"/>
      </w:rPr>
    </w:pPr>
    <w:r>
      <w:rPr>
        <w:rFonts w:hint="eastAsia"/>
        <w:lang w:val="en-US" w:eastAsia="zh-CN"/>
      </w:rPr>
      <w:t>5</w:t>
    </w:r>
    <w:r>
      <w:rPr>
        <w:rFonts w:hint="default"/>
      </w:rPr>
      <w:t xml:space="preserve"> </w:t>
    </w:r>
    <w:r>
      <w:rPr>
        <w:rFonts w:hint="eastAsia"/>
        <w:lang w:eastAsia="zh-CN"/>
      </w:rPr>
      <w:t>土壤流失量分析</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lang w:val="en-US" w:eastAsia="zh-CN"/>
      </w:rPr>
    </w:pPr>
    <w:r>
      <w:rPr>
        <w:rFonts w:hint="default"/>
      </w:rPr>
      <w:t>6水土流失防治效果监测结果</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default"/>
        <w:lang w:val="en-US" w:eastAsia="zh-CN"/>
      </w:rPr>
    </w:pPr>
    <w:r>
      <w:rPr>
        <w:rFonts w:hint="eastAsia"/>
        <w:lang w:val="en-US" w:eastAsia="zh-CN"/>
      </w:rPr>
      <w:t>7结论</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DFEC663"/>
    <w:multiLevelType w:val="singleLevel"/>
    <w:tmpl w:val="BDFEC66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hyphenationZone w:val="360"/>
  <w:drawingGridVerticalSpacing w:val="165"/>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6477A"/>
    <w:rsid w:val="015E55ED"/>
    <w:rsid w:val="01A16C83"/>
    <w:rsid w:val="020B12AF"/>
    <w:rsid w:val="021D086A"/>
    <w:rsid w:val="031A2297"/>
    <w:rsid w:val="03FD0104"/>
    <w:rsid w:val="041F05F0"/>
    <w:rsid w:val="05445C84"/>
    <w:rsid w:val="05842B2F"/>
    <w:rsid w:val="05AF0BBB"/>
    <w:rsid w:val="062B7BB0"/>
    <w:rsid w:val="069F6E5B"/>
    <w:rsid w:val="06C44C04"/>
    <w:rsid w:val="08841077"/>
    <w:rsid w:val="08E40A9D"/>
    <w:rsid w:val="094A7B76"/>
    <w:rsid w:val="095A5DA8"/>
    <w:rsid w:val="098258AF"/>
    <w:rsid w:val="0A3A09F1"/>
    <w:rsid w:val="0A500F29"/>
    <w:rsid w:val="0B7B6ABB"/>
    <w:rsid w:val="0BAF6784"/>
    <w:rsid w:val="0BD302A0"/>
    <w:rsid w:val="0BE5198E"/>
    <w:rsid w:val="0BF6096B"/>
    <w:rsid w:val="0BF96117"/>
    <w:rsid w:val="0C4537B8"/>
    <w:rsid w:val="0C5A7779"/>
    <w:rsid w:val="0D0E08E9"/>
    <w:rsid w:val="0D1403AB"/>
    <w:rsid w:val="0D897802"/>
    <w:rsid w:val="0DA534A9"/>
    <w:rsid w:val="0E592A04"/>
    <w:rsid w:val="0E64219A"/>
    <w:rsid w:val="0EA401E5"/>
    <w:rsid w:val="0EC84036"/>
    <w:rsid w:val="0F2F0E36"/>
    <w:rsid w:val="0FB36B02"/>
    <w:rsid w:val="0FC04095"/>
    <w:rsid w:val="0FD0499B"/>
    <w:rsid w:val="100952E4"/>
    <w:rsid w:val="10D94635"/>
    <w:rsid w:val="11435A30"/>
    <w:rsid w:val="117507B2"/>
    <w:rsid w:val="12026C9E"/>
    <w:rsid w:val="128345C8"/>
    <w:rsid w:val="139849A5"/>
    <w:rsid w:val="13F3303C"/>
    <w:rsid w:val="13FA1DF8"/>
    <w:rsid w:val="14A45F82"/>
    <w:rsid w:val="14B4086F"/>
    <w:rsid w:val="14B46535"/>
    <w:rsid w:val="151472F3"/>
    <w:rsid w:val="15340F13"/>
    <w:rsid w:val="15843568"/>
    <w:rsid w:val="15D81DD3"/>
    <w:rsid w:val="161F222D"/>
    <w:rsid w:val="16871FA1"/>
    <w:rsid w:val="16E93DFF"/>
    <w:rsid w:val="17034DDE"/>
    <w:rsid w:val="1706678D"/>
    <w:rsid w:val="17101BFF"/>
    <w:rsid w:val="18147FA6"/>
    <w:rsid w:val="18357257"/>
    <w:rsid w:val="185872CF"/>
    <w:rsid w:val="185D6E67"/>
    <w:rsid w:val="18D328DB"/>
    <w:rsid w:val="19FB52E6"/>
    <w:rsid w:val="1A006E8D"/>
    <w:rsid w:val="1A0D78C0"/>
    <w:rsid w:val="1A0F4C7D"/>
    <w:rsid w:val="1A6F714B"/>
    <w:rsid w:val="1B58186D"/>
    <w:rsid w:val="1BEC5B98"/>
    <w:rsid w:val="1C5E5D82"/>
    <w:rsid w:val="1D70024B"/>
    <w:rsid w:val="1D7972D4"/>
    <w:rsid w:val="1DAF0A49"/>
    <w:rsid w:val="1DDD5A09"/>
    <w:rsid w:val="1F23481D"/>
    <w:rsid w:val="1F7C3F94"/>
    <w:rsid w:val="1FF646F7"/>
    <w:rsid w:val="20295DBB"/>
    <w:rsid w:val="20AB535F"/>
    <w:rsid w:val="2175309E"/>
    <w:rsid w:val="21DF43F0"/>
    <w:rsid w:val="21EF44F8"/>
    <w:rsid w:val="21F64DC7"/>
    <w:rsid w:val="22201D4B"/>
    <w:rsid w:val="224F666C"/>
    <w:rsid w:val="22826E40"/>
    <w:rsid w:val="234A2E3E"/>
    <w:rsid w:val="242E01B9"/>
    <w:rsid w:val="2442769B"/>
    <w:rsid w:val="248902F0"/>
    <w:rsid w:val="24AB2540"/>
    <w:rsid w:val="24E85448"/>
    <w:rsid w:val="2505361A"/>
    <w:rsid w:val="256E20DF"/>
    <w:rsid w:val="25833350"/>
    <w:rsid w:val="25EA727D"/>
    <w:rsid w:val="266279C2"/>
    <w:rsid w:val="27762495"/>
    <w:rsid w:val="2783715C"/>
    <w:rsid w:val="27A254C5"/>
    <w:rsid w:val="27AA1466"/>
    <w:rsid w:val="29042FD1"/>
    <w:rsid w:val="2A2D6E9E"/>
    <w:rsid w:val="2A986692"/>
    <w:rsid w:val="2B055312"/>
    <w:rsid w:val="2B074AB8"/>
    <w:rsid w:val="2B707A3D"/>
    <w:rsid w:val="2C15591D"/>
    <w:rsid w:val="2C206F2D"/>
    <w:rsid w:val="2D434954"/>
    <w:rsid w:val="2E27129F"/>
    <w:rsid w:val="2E280AB0"/>
    <w:rsid w:val="2E4532C6"/>
    <w:rsid w:val="2E6666FB"/>
    <w:rsid w:val="2E895D52"/>
    <w:rsid w:val="30126846"/>
    <w:rsid w:val="3039288A"/>
    <w:rsid w:val="30692CC9"/>
    <w:rsid w:val="30DB3FF2"/>
    <w:rsid w:val="30F40812"/>
    <w:rsid w:val="31023109"/>
    <w:rsid w:val="31D410DF"/>
    <w:rsid w:val="32986A22"/>
    <w:rsid w:val="343E07BC"/>
    <w:rsid w:val="34C75576"/>
    <w:rsid w:val="3576503B"/>
    <w:rsid w:val="361023D7"/>
    <w:rsid w:val="365F1332"/>
    <w:rsid w:val="37421190"/>
    <w:rsid w:val="376611AB"/>
    <w:rsid w:val="37D3340C"/>
    <w:rsid w:val="384213C1"/>
    <w:rsid w:val="384F7687"/>
    <w:rsid w:val="38AF015D"/>
    <w:rsid w:val="38B46FBC"/>
    <w:rsid w:val="390C27E7"/>
    <w:rsid w:val="39682C80"/>
    <w:rsid w:val="39C5323E"/>
    <w:rsid w:val="3A361ADE"/>
    <w:rsid w:val="3A634F3F"/>
    <w:rsid w:val="3ABF6D5A"/>
    <w:rsid w:val="3B79739C"/>
    <w:rsid w:val="3C5134E4"/>
    <w:rsid w:val="3DAE5FAE"/>
    <w:rsid w:val="3DEC637D"/>
    <w:rsid w:val="3E5B0B87"/>
    <w:rsid w:val="3E7A2EAD"/>
    <w:rsid w:val="3F8B43F4"/>
    <w:rsid w:val="400C1F7B"/>
    <w:rsid w:val="405B30C6"/>
    <w:rsid w:val="406E1BC6"/>
    <w:rsid w:val="413369F3"/>
    <w:rsid w:val="421D067E"/>
    <w:rsid w:val="421D4A7D"/>
    <w:rsid w:val="43804836"/>
    <w:rsid w:val="43A043B7"/>
    <w:rsid w:val="44041312"/>
    <w:rsid w:val="442E0305"/>
    <w:rsid w:val="45052136"/>
    <w:rsid w:val="45A66733"/>
    <w:rsid w:val="46056BBB"/>
    <w:rsid w:val="462F144E"/>
    <w:rsid w:val="46B93106"/>
    <w:rsid w:val="46E428DC"/>
    <w:rsid w:val="46F73CCF"/>
    <w:rsid w:val="47634A8E"/>
    <w:rsid w:val="47731290"/>
    <w:rsid w:val="480253A4"/>
    <w:rsid w:val="48152F44"/>
    <w:rsid w:val="481B4415"/>
    <w:rsid w:val="4901724F"/>
    <w:rsid w:val="49DB6BA0"/>
    <w:rsid w:val="4A3D7AC4"/>
    <w:rsid w:val="4A725601"/>
    <w:rsid w:val="4A7B1867"/>
    <w:rsid w:val="4BAB3083"/>
    <w:rsid w:val="4BC31060"/>
    <w:rsid w:val="4CA16027"/>
    <w:rsid w:val="4D755426"/>
    <w:rsid w:val="4DBA3C8D"/>
    <w:rsid w:val="4E530B91"/>
    <w:rsid w:val="4E9A72BF"/>
    <w:rsid w:val="4EBF7734"/>
    <w:rsid w:val="4EDC0B2E"/>
    <w:rsid w:val="50055789"/>
    <w:rsid w:val="506B5B97"/>
    <w:rsid w:val="515F7F92"/>
    <w:rsid w:val="517F4984"/>
    <w:rsid w:val="518E7075"/>
    <w:rsid w:val="51B3758E"/>
    <w:rsid w:val="51E020EB"/>
    <w:rsid w:val="526251D6"/>
    <w:rsid w:val="5365418D"/>
    <w:rsid w:val="53906442"/>
    <w:rsid w:val="53D12299"/>
    <w:rsid w:val="53E63B9C"/>
    <w:rsid w:val="54A17A0F"/>
    <w:rsid w:val="54A54110"/>
    <w:rsid w:val="55050121"/>
    <w:rsid w:val="550D4584"/>
    <w:rsid w:val="552510FA"/>
    <w:rsid w:val="55272BF3"/>
    <w:rsid w:val="5582404F"/>
    <w:rsid w:val="568E7FCC"/>
    <w:rsid w:val="570D63F1"/>
    <w:rsid w:val="571116DF"/>
    <w:rsid w:val="57123A8C"/>
    <w:rsid w:val="57805ACB"/>
    <w:rsid w:val="57CF31A8"/>
    <w:rsid w:val="592E0B3C"/>
    <w:rsid w:val="59881199"/>
    <w:rsid w:val="59DD71C9"/>
    <w:rsid w:val="59F15520"/>
    <w:rsid w:val="5A256776"/>
    <w:rsid w:val="5C5B2252"/>
    <w:rsid w:val="5CDD2ADB"/>
    <w:rsid w:val="5E5E22DF"/>
    <w:rsid w:val="5E620AFD"/>
    <w:rsid w:val="5EA42D2B"/>
    <w:rsid w:val="5F32218E"/>
    <w:rsid w:val="60EA1F31"/>
    <w:rsid w:val="61867491"/>
    <w:rsid w:val="61FD0C41"/>
    <w:rsid w:val="62015325"/>
    <w:rsid w:val="624D033E"/>
    <w:rsid w:val="62560150"/>
    <w:rsid w:val="63130937"/>
    <w:rsid w:val="636B231A"/>
    <w:rsid w:val="650D0B99"/>
    <w:rsid w:val="65CA03A2"/>
    <w:rsid w:val="66415FC5"/>
    <w:rsid w:val="666E5CD4"/>
    <w:rsid w:val="66BF2777"/>
    <w:rsid w:val="675F70AE"/>
    <w:rsid w:val="68651A3E"/>
    <w:rsid w:val="68E24309"/>
    <w:rsid w:val="69415425"/>
    <w:rsid w:val="69A53556"/>
    <w:rsid w:val="69BF7BEE"/>
    <w:rsid w:val="69CA2C73"/>
    <w:rsid w:val="6A456DB6"/>
    <w:rsid w:val="6A9610DE"/>
    <w:rsid w:val="6B0D1F5B"/>
    <w:rsid w:val="6B92292C"/>
    <w:rsid w:val="6BBC7D2B"/>
    <w:rsid w:val="6C1F2DE2"/>
    <w:rsid w:val="6C5A64B7"/>
    <w:rsid w:val="6C9F1FCE"/>
    <w:rsid w:val="6CC51589"/>
    <w:rsid w:val="6D0C225A"/>
    <w:rsid w:val="6E07392D"/>
    <w:rsid w:val="6E9764E4"/>
    <w:rsid w:val="6EC37151"/>
    <w:rsid w:val="6EDB328D"/>
    <w:rsid w:val="6F2862C1"/>
    <w:rsid w:val="6F385719"/>
    <w:rsid w:val="6FDF687B"/>
    <w:rsid w:val="6FE31D3B"/>
    <w:rsid w:val="700B648F"/>
    <w:rsid w:val="7058763C"/>
    <w:rsid w:val="706620DF"/>
    <w:rsid w:val="70E96A3D"/>
    <w:rsid w:val="715672E4"/>
    <w:rsid w:val="7172315A"/>
    <w:rsid w:val="72274543"/>
    <w:rsid w:val="727E0131"/>
    <w:rsid w:val="729F6394"/>
    <w:rsid w:val="72DA5CD1"/>
    <w:rsid w:val="73383569"/>
    <w:rsid w:val="73A406F1"/>
    <w:rsid w:val="73BA5A70"/>
    <w:rsid w:val="73F94999"/>
    <w:rsid w:val="741C28EC"/>
    <w:rsid w:val="745D3EB0"/>
    <w:rsid w:val="746B5731"/>
    <w:rsid w:val="747E3F3A"/>
    <w:rsid w:val="75086966"/>
    <w:rsid w:val="753F21D7"/>
    <w:rsid w:val="75875533"/>
    <w:rsid w:val="78091D1F"/>
    <w:rsid w:val="783A55F6"/>
    <w:rsid w:val="785D0686"/>
    <w:rsid w:val="7A403FA2"/>
    <w:rsid w:val="7A5845FF"/>
    <w:rsid w:val="7A6E3849"/>
    <w:rsid w:val="7AC96A91"/>
    <w:rsid w:val="7B133B35"/>
    <w:rsid w:val="7B1800C6"/>
    <w:rsid w:val="7B20667C"/>
    <w:rsid w:val="7C190FD8"/>
    <w:rsid w:val="7C4857FD"/>
    <w:rsid w:val="7C5F22FA"/>
    <w:rsid w:val="7CF25BE4"/>
    <w:rsid w:val="7D9522B0"/>
    <w:rsid w:val="7DA6211E"/>
    <w:rsid w:val="7E17587C"/>
    <w:rsid w:val="7E223F2F"/>
    <w:rsid w:val="7E45494B"/>
    <w:rsid w:val="7E8542F7"/>
    <w:rsid w:val="7EFB4719"/>
    <w:rsid w:val="7F7D5DE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pageBreakBefore w:val="0"/>
      <w:widowControl w:val="0"/>
      <w:wordWrap/>
      <w:overflowPunct/>
      <w:topLinePunct/>
      <w:autoSpaceDE/>
      <w:autoSpaceDN/>
      <w:adjustRightInd w:val="0"/>
      <w:snapToGrid w:val="0"/>
      <w:spacing w:line="360" w:lineRule="auto"/>
      <w:ind w:firstLine="562" w:firstLineChars="200"/>
      <w:jc w:val="both"/>
    </w:pPr>
    <w:rPr>
      <w:rFonts w:ascii="Times New Roman" w:hAnsi="Times New Roman" w:eastAsia="仿宋_GB2312" w:cs="Times New Roman"/>
      <w:kern w:val="2"/>
      <w:sz w:val="24"/>
      <w:szCs w:val="24"/>
      <w:lang w:val="en-US" w:eastAsia="zh-CN" w:bidi="ar-SA"/>
    </w:rPr>
  </w:style>
  <w:style w:type="paragraph" w:styleId="2">
    <w:name w:val="heading 1"/>
    <w:basedOn w:val="1"/>
    <w:next w:val="1"/>
    <w:link w:val="15"/>
    <w:qFormat/>
    <w:uiPriority w:val="0"/>
    <w:pPr>
      <w:keepNext/>
      <w:keepLines/>
      <w:adjustRightInd w:val="0"/>
      <w:snapToGrid w:val="0"/>
      <w:spacing w:beforeAutospacing="0" w:after="50" w:afterLines="50" w:afterAutospacing="0" w:line="240" w:lineRule="auto"/>
      <w:ind w:firstLine="0" w:firstLineChars="0"/>
      <w:outlineLvl w:val="0"/>
    </w:pPr>
    <w:rPr>
      <w:rFonts w:ascii="Times New Roman" w:hAnsi="Times New Roman" w:eastAsia="黑体"/>
      <w:b/>
      <w:kern w:val="44"/>
      <w:sz w:val="32"/>
    </w:rPr>
  </w:style>
  <w:style w:type="paragraph" w:styleId="3">
    <w:name w:val="heading 2"/>
    <w:basedOn w:val="1"/>
    <w:next w:val="1"/>
    <w:link w:val="14"/>
    <w:unhideWhenUsed/>
    <w:qFormat/>
    <w:uiPriority w:val="0"/>
    <w:pPr>
      <w:keepNext/>
      <w:keepLines/>
      <w:adjustRightInd w:val="0"/>
      <w:snapToGrid w:val="0"/>
      <w:spacing w:beforeAutospacing="0" w:after="50" w:afterLines="50" w:afterAutospacing="0" w:line="240" w:lineRule="auto"/>
      <w:ind w:firstLine="0" w:firstLineChars="0"/>
      <w:outlineLvl w:val="1"/>
    </w:pPr>
    <w:rPr>
      <w:rFonts w:ascii="Arial" w:hAnsi="Arial" w:eastAsia="黑体"/>
      <w:b/>
      <w:sz w:val="30"/>
    </w:rPr>
  </w:style>
  <w:style w:type="paragraph" w:styleId="4">
    <w:name w:val="heading 3"/>
    <w:basedOn w:val="1"/>
    <w:next w:val="1"/>
    <w:unhideWhenUsed/>
    <w:qFormat/>
    <w:uiPriority w:val="0"/>
    <w:pPr>
      <w:keepNext/>
      <w:keepLines/>
      <w:spacing w:beforeAutospacing="0" w:after="50" w:afterLines="50" w:afterAutospacing="0" w:line="240" w:lineRule="auto"/>
      <w:ind w:firstLine="0" w:firstLineChars="0"/>
      <w:outlineLvl w:val="2"/>
    </w:pPr>
    <w:rPr>
      <w:rFonts w:ascii="Calibri" w:hAnsi="Calibri" w:eastAsia="黑体"/>
      <w:b/>
      <w:sz w:val="28"/>
    </w:rPr>
  </w:style>
  <w:style w:type="paragraph" w:styleId="5">
    <w:name w:val="heading 4"/>
    <w:basedOn w:val="1"/>
    <w:next w:val="1"/>
    <w:unhideWhenUsed/>
    <w:qFormat/>
    <w:uiPriority w:val="0"/>
    <w:pPr>
      <w:keepNext/>
      <w:keepLines/>
      <w:spacing w:before="280" w:beforeLines="0" w:after="290" w:afterLines="0" w:line="372" w:lineRule="auto"/>
      <w:outlineLvl w:val="3"/>
    </w:pPr>
    <w:rPr>
      <w:rFonts w:ascii="Arial" w:hAnsi="Arial" w:eastAsia="黑体"/>
      <w:b/>
      <w:bCs/>
      <w:kern w:val="2"/>
      <w:sz w:val="28"/>
      <w:szCs w:val="28"/>
      <w:lang w:val="en-US" w:eastAsia="zh-CN" w:bidi="ar-SA"/>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6">
    <w:name w:val="caption"/>
    <w:next w:val="1"/>
    <w:link w:val="18"/>
    <w:unhideWhenUsed/>
    <w:qFormat/>
    <w:uiPriority w:val="0"/>
    <w:pPr>
      <w:keepNext w:val="0"/>
      <w:widowControl w:val="0"/>
      <w:spacing w:line="240" w:lineRule="auto"/>
      <w:jc w:val="center"/>
    </w:pPr>
    <w:rPr>
      <w:rFonts w:ascii="Times New Roman" w:hAnsi="Times New Roman" w:eastAsia="黑体" w:cs="Times New Roman"/>
      <w:sz w:val="21"/>
    </w:rPr>
  </w:style>
  <w:style w:type="paragraph" w:styleId="7">
    <w:name w:val="footer"/>
    <w:basedOn w:val="1"/>
    <w:qFormat/>
    <w:uiPriority w:val="0"/>
    <w:pPr>
      <w:tabs>
        <w:tab w:val="center" w:pos="4153"/>
        <w:tab w:val="right" w:pos="8306"/>
      </w:tabs>
      <w:snapToGrid w:val="0"/>
      <w:jc w:val="left"/>
    </w:pPr>
    <w:rPr>
      <w:rFonts w:ascii="Times New Roman" w:hAnsi="Times New Roman"/>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ind w:firstLine="0" w:firstLineChars="0"/>
      <w:jc w:val="right"/>
      <w:outlineLvl w:val="9"/>
    </w:pPr>
    <w:rPr>
      <w:rFonts w:ascii="Times New Roman" w:hAnsi="Times New Roman"/>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标题 2 Char"/>
    <w:link w:val="3"/>
    <w:qFormat/>
    <w:uiPriority w:val="0"/>
    <w:rPr>
      <w:rFonts w:ascii="Arial" w:hAnsi="Arial" w:eastAsia="黑体"/>
      <w:b/>
      <w:sz w:val="30"/>
    </w:rPr>
  </w:style>
  <w:style w:type="character" w:customStyle="1" w:styleId="15">
    <w:name w:val="标题 1 Char"/>
    <w:link w:val="2"/>
    <w:qFormat/>
    <w:uiPriority w:val="0"/>
    <w:rPr>
      <w:rFonts w:ascii="Times New Roman" w:hAnsi="Times New Roman" w:eastAsia="黑体"/>
      <w:b/>
      <w:kern w:val="44"/>
      <w:sz w:val="32"/>
    </w:rPr>
  </w:style>
  <w:style w:type="paragraph" w:customStyle="1" w:styleId="16">
    <w:name w:val="表格内容"/>
    <w:next w:val="1"/>
    <w:link w:val="19"/>
    <w:qFormat/>
    <w:uiPriority w:val="0"/>
    <w:pPr>
      <w:keepNext w:val="0"/>
      <w:widowControl w:val="0"/>
      <w:jc w:val="center"/>
    </w:pPr>
    <w:rPr>
      <w:rFonts w:ascii="Times New Roman" w:hAnsi="Times New Roman" w:eastAsia="仿宋_GB2312" w:cs="Times New Roman"/>
      <w:sz w:val="21"/>
    </w:rPr>
  </w:style>
  <w:style w:type="paragraph" w:customStyle="1" w:styleId="17">
    <w:name w:val="表格标题"/>
    <w:basedOn w:val="1"/>
    <w:qFormat/>
    <w:uiPriority w:val="0"/>
    <w:pPr>
      <w:spacing w:line="240" w:lineRule="auto"/>
      <w:ind w:firstLine="0" w:firstLineChars="0"/>
      <w:jc w:val="center"/>
    </w:pPr>
    <w:rPr>
      <w:bCs/>
      <w:sz w:val="24"/>
      <w:szCs w:val="21"/>
    </w:rPr>
  </w:style>
  <w:style w:type="character" w:customStyle="1" w:styleId="18">
    <w:name w:val="题注 Char"/>
    <w:link w:val="6"/>
    <w:qFormat/>
    <w:uiPriority w:val="0"/>
    <w:rPr>
      <w:rFonts w:ascii="Times New Roman" w:hAnsi="Times New Roman" w:eastAsia="黑体" w:cs="Times New Roman"/>
      <w:sz w:val="21"/>
    </w:rPr>
  </w:style>
  <w:style w:type="character" w:customStyle="1" w:styleId="19">
    <w:name w:val="表格内容 Char"/>
    <w:link w:val="16"/>
    <w:qFormat/>
    <w:uiPriority w:val="0"/>
    <w:rPr>
      <w:rFonts w:ascii="Times New Roman" w:hAnsi="Times New Roman" w:eastAsia="仿宋_GB2312" w:cs="Times New Roman"/>
      <w:sz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52.wmf"/><Relationship Id="rId74" Type="http://schemas.openxmlformats.org/officeDocument/2006/relationships/oleObject" Target="embeddings/oleObject6.bin"/><Relationship Id="rId73" Type="http://schemas.openxmlformats.org/officeDocument/2006/relationships/image" Target="media/image51.wmf"/><Relationship Id="rId72" Type="http://schemas.openxmlformats.org/officeDocument/2006/relationships/oleObject" Target="embeddings/oleObject5.bin"/><Relationship Id="rId71" Type="http://schemas.openxmlformats.org/officeDocument/2006/relationships/image" Target="media/image50.wmf"/><Relationship Id="rId70" Type="http://schemas.openxmlformats.org/officeDocument/2006/relationships/oleObject" Target="embeddings/oleObject4.bin"/><Relationship Id="rId7" Type="http://schemas.openxmlformats.org/officeDocument/2006/relationships/header" Target="header2.xml"/><Relationship Id="rId69" Type="http://schemas.openxmlformats.org/officeDocument/2006/relationships/image" Target="media/image49.wmf"/><Relationship Id="rId68" Type="http://schemas.openxmlformats.org/officeDocument/2006/relationships/oleObject" Target="embeddings/oleObject3.bin"/><Relationship Id="rId67" Type="http://schemas.openxmlformats.org/officeDocument/2006/relationships/image" Target="media/image48.wmf"/><Relationship Id="rId66" Type="http://schemas.openxmlformats.org/officeDocument/2006/relationships/oleObject" Target="embeddings/oleObject2.bin"/><Relationship Id="rId65" Type="http://schemas.openxmlformats.org/officeDocument/2006/relationships/image" Target="media/image47.jpeg"/><Relationship Id="rId64" Type="http://schemas.openxmlformats.org/officeDocument/2006/relationships/image" Target="media/image46.jpeg"/><Relationship Id="rId63" Type="http://schemas.openxmlformats.org/officeDocument/2006/relationships/image" Target="media/image45.jpeg"/><Relationship Id="rId62" Type="http://schemas.openxmlformats.org/officeDocument/2006/relationships/image" Target="media/image44.jpeg"/><Relationship Id="rId61" Type="http://schemas.openxmlformats.org/officeDocument/2006/relationships/image" Target="media/image43.jpeg"/><Relationship Id="rId60" Type="http://schemas.openxmlformats.org/officeDocument/2006/relationships/image" Target="media/image42.jpeg"/><Relationship Id="rId6" Type="http://schemas.openxmlformats.org/officeDocument/2006/relationships/footer" Target="footer3.xml"/><Relationship Id="rId59" Type="http://schemas.openxmlformats.org/officeDocument/2006/relationships/image" Target="media/image41.jpeg"/><Relationship Id="rId58" Type="http://schemas.openxmlformats.org/officeDocument/2006/relationships/image" Target="media/image40.jpeg"/><Relationship Id="rId57" Type="http://schemas.openxmlformats.org/officeDocument/2006/relationships/image" Target="media/image39.jpeg"/><Relationship Id="rId56" Type="http://schemas.openxmlformats.org/officeDocument/2006/relationships/image" Target="media/image38.jpeg"/><Relationship Id="rId55" Type="http://schemas.openxmlformats.org/officeDocument/2006/relationships/image" Target="media/image37.jpeg"/><Relationship Id="rId54" Type="http://schemas.openxmlformats.org/officeDocument/2006/relationships/image" Target="media/image36.jpeg"/><Relationship Id="rId53" Type="http://schemas.openxmlformats.org/officeDocument/2006/relationships/image" Target="media/image35.jpeg"/><Relationship Id="rId52" Type="http://schemas.openxmlformats.org/officeDocument/2006/relationships/image" Target="media/image34.jpeg"/><Relationship Id="rId51" Type="http://schemas.openxmlformats.org/officeDocument/2006/relationships/image" Target="media/image33.jpeg"/><Relationship Id="rId50" Type="http://schemas.openxmlformats.org/officeDocument/2006/relationships/image" Target="media/image32.jpeg"/><Relationship Id="rId5" Type="http://schemas.openxmlformats.org/officeDocument/2006/relationships/header" Target="header1.xml"/><Relationship Id="rId49" Type="http://schemas.openxmlformats.org/officeDocument/2006/relationships/image" Target="media/image31.jpeg"/><Relationship Id="rId48" Type="http://schemas.openxmlformats.org/officeDocument/2006/relationships/image" Target="media/image30.jpeg"/><Relationship Id="rId47" Type="http://schemas.openxmlformats.org/officeDocument/2006/relationships/image" Target="media/image29.jpeg"/><Relationship Id="rId46" Type="http://schemas.openxmlformats.org/officeDocument/2006/relationships/image" Target="media/image28.jpeg"/><Relationship Id="rId45" Type="http://schemas.openxmlformats.org/officeDocument/2006/relationships/image" Target="media/image27.jpeg"/><Relationship Id="rId44" Type="http://schemas.openxmlformats.org/officeDocument/2006/relationships/image" Target="media/image26.jpeg"/><Relationship Id="rId43" Type="http://schemas.openxmlformats.org/officeDocument/2006/relationships/image" Target="media/image25.jpeg"/><Relationship Id="rId42" Type="http://schemas.openxmlformats.org/officeDocument/2006/relationships/image" Target="media/image24.jpeg"/><Relationship Id="rId41" Type="http://schemas.openxmlformats.org/officeDocument/2006/relationships/image" Target="media/image23.jpeg"/><Relationship Id="rId40" Type="http://schemas.openxmlformats.org/officeDocument/2006/relationships/image" Target="media/image22.jpeg"/><Relationship Id="rId4" Type="http://schemas.openxmlformats.org/officeDocument/2006/relationships/footer" Target="footer2.xml"/><Relationship Id="rId39" Type="http://schemas.openxmlformats.org/officeDocument/2006/relationships/image" Target="media/image21.jpeg"/><Relationship Id="rId38" Type="http://schemas.openxmlformats.org/officeDocument/2006/relationships/image" Target="media/image20.jpeg"/><Relationship Id="rId37" Type="http://schemas.openxmlformats.org/officeDocument/2006/relationships/image" Target="media/image19.jpeg"/><Relationship Id="rId36" Type="http://schemas.openxmlformats.org/officeDocument/2006/relationships/image" Target="media/image18.jpeg"/><Relationship Id="rId35" Type="http://schemas.openxmlformats.org/officeDocument/2006/relationships/image" Target="media/image17.jpeg"/><Relationship Id="rId34" Type="http://schemas.openxmlformats.org/officeDocument/2006/relationships/image" Target="media/image16.jpeg"/><Relationship Id="rId33" Type="http://schemas.openxmlformats.org/officeDocument/2006/relationships/image" Target="media/image15.jpeg"/><Relationship Id="rId32" Type="http://schemas.openxmlformats.org/officeDocument/2006/relationships/image" Target="media/image14.jpeg"/><Relationship Id="rId31" Type="http://schemas.openxmlformats.org/officeDocument/2006/relationships/image" Target="media/image13.jpeg"/><Relationship Id="rId30" Type="http://schemas.openxmlformats.org/officeDocument/2006/relationships/image" Target="media/image12.jpeg"/><Relationship Id="rId3" Type="http://schemas.openxmlformats.org/officeDocument/2006/relationships/footer" Target="footer1.xml"/><Relationship Id="rId29" Type="http://schemas.openxmlformats.org/officeDocument/2006/relationships/image" Target="media/image11.jpeg"/><Relationship Id="rId28" Type="http://schemas.openxmlformats.org/officeDocument/2006/relationships/image" Target="media/image10.jpeg"/><Relationship Id="rId27" Type="http://schemas.openxmlformats.org/officeDocument/2006/relationships/image" Target="media/image9.jpeg"/><Relationship Id="rId26" Type="http://schemas.openxmlformats.org/officeDocument/2006/relationships/image" Target="media/image8.jpeg"/><Relationship Id="rId25" Type="http://schemas.openxmlformats.org/officeDocument/2006/relationships/image" Target="media/image7.jpeg"/><Relationship Id="rId24" Type="http://schemas.openxmlformats.org/officeDocument/2006/relationships/image" Target="media/image6.jpeg"/><Relationship Id="rId23" Type="http://schemas.openxmlformats.org/officeDocument/2006/relationships/image" Target="media/image5.jpeg"/><Relationship Id="rId22" Type="http://schemas.openxmlformats.org/officeDocument/2006/relationships/image" Target="media/image4.jpeg"/><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wmf"/><Relationship Id="rId18" Type="http://schemas.openxmlformats.org/officeDocument/2006/relationships/oleObject" Target="embeddings/oleObject1.bin"/><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61</Pages>
  <Words>23354</Words>
  <Characters>28180</Characters>
  <Lines>0</Lines>
  <Paragraphs>0</Paragraphs>
  <TotalTime>0</TotalTime>
  <ScaleCrop>false</ScaleCrop>
  <LinksUpToDate>false</LinksUpToDate>
  <CharactersWithSpaces>40761</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2018-01-16T03:36:00Z</dcterms:created>
  <dc:creator>Administrator</dc:creator>
  <cp:lastModifiedBy>Administrator</cp:lastModifiedBy>
  <dcterms:modified xsi:type="dcterms:W3CDTF">2021-06-23T03:12:32Z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