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autoSpaceDE/>
        <w:autoSpaceDN/>
        <w:bidi w:val="0"/>
        <w:adjustRightInd w:val="0"/>
        <w:snapToGrid w:val="0"/>
        <w:spacing w:before="157" w:beforeLines="50" w:after="157" w:afterLines="5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b/>
          <w:color w:val="auto"/>
          <w:sz w:val="28"/>
          <w:szCs w:val="28"/>
          <w:lang w:eastAsia="zh-CN"/>
        </w:rPr>
      </w:pPr>
      <w:bookmarkStart w:id="196" w:name="_GoBack"/>
      <w:bookmarkEnd w:id="196"/>
    </w:p>
    <w:p>
      <w:pPr>
        <w:keepNext w:val="0"/>
        <w:keepLines w:val="0"/>
        <w:pageBreakBefore w:val="0"/>
        <w:widowControl w:val="0"/>
        <w:kinsoku/>
        <w:wordWrap/>
        <w:overflowPunct/>
        <w:topLinePunct/>
        <w:autoSpaceDE/>
        <w:autoSpaceDN/>
        <w:bidi w:val="0"/>
        <w:adjustRightInd w:val="0"/>
        <w:snapToGrid w:val="0"/>
        <w:spacing w:before="164" w:beforeLines="50" w:after="164" w:afterLines="50" w:line="360" w:lineRule="auto"/>
        <w:ind w:left="0" w:leftChars="0" w:right="0" w:rightChars="0" w:firstLine="0" w:firstLineChars="0"/>
        <w:jc w:val="center"/>
        <w:textAlignment w:val="auto"/>
        <w:outlineLvl w:val="9"/>
        <w:rPr>
          <w:rFonts w:hint="eastAsia" w:ascii="黑体" w:hAnsi="黑体" w:eastAsia="黑体" w:cs="黑体"/>
          <w:color w:val="auto"/>
          <w:sz w:val="32"/>
          <w:szCs w:val="32"/>
        </w:rPr>
      </w:pPr>
      <w:r>
        <w:rPr>
          <w:rFonts w:hint="eastAsia" w:ascii="黑体" w:hAnsi="黑体" w:eastAsia="黑体" w:cs="黑体"/>
          <w:b/>
          <w:bCs/>
          <w:color w:val="auto"/>
          <w:sz w:val="32"/>
          <w:szCs w:val="32"/>
        </w:rPr>
        <w:t>目  录</w:t>
      </w:r>
    </w:p>
    <w:p>
      <w:pPr>
        <w:pStyle w:val="9"/>
        <w:tabs>
          <w:tab w:val="right" w:leader="dot" w:pos="8787"/>
        </w:tabs>
        <w:rPr>
          <w:color w:val="auto"/>
        </w:rPr>
      </w:pPr>
      <w:r>
        <w:rPr>
          <w:rFonts w:hint="default" w:ascii="仿宋_GB2312" w:hAnsi="仿宋_GB2312" w:eastAsia="仿宋_GB2312" w:cs="仿宋_GB2312"/>
          <w:b w:val="0"/>
          <w:bCs w:val="0"/>
          <w:caps w:val="0"/>
          <w:color w:val="auto"/>
          <w:sz w:val="28"/>
        </w:rPr>
        <w:fldChar w:fldCharType="begin"/>
      </w:r>
      <w:r>
        <w:rPr>
          <w:rFonts w:hint="default" w:ascii="仿宋_GB2312" w:hAnsi="仿宋_GB2312" w:eastAsia="仿宋_GB2312" w:cs="仿宋_GB2312"/>
          <w:b w:val="0"/>
          <w:bCs w:val="0"/>
          <w:caps w:val="0"/>
          <w:color w:val="auto"/>
          <w:sz w:val="28"/>
        </w:rPr>
        <w:instrText xml:space="preserve"> TOC \o "1-2" \h \z \u </w:instrText>
      </w:r>
      <w:r>
        <w:rPr>
          <w:rFonts w:hint="default" w:ascii="仿宋_GB2312" w:hAnsi="仿宋_GB2312" w:eastAsia="仿宋_GB2312" w:cs="仿宋_GB2312"/>
          <w:b w:val="0"/>
          <w:bCs w:val="0"/>
          <w:caps w:val="0"/>
          <w:color w:val="auto"/>
          <w:sz w:val="28"/>
        </w:rPr>
        <w:fldChar w:fldCharType="separate"/>
      </w:r>
      <w:r>
        <w:rPr>
          <w:rFonts w:hint="default" w:ascii="仿宋_GB2312" w:hAnsi="仿宋_GB2312" w:eastAsia="仿宋_GB2312" w:cs="仿宋_GB2312"/>
          <w:bCs w:val="0"/>
          <w:caps w:val="0"/>
          <w:color w:val="auto"/>
        </w:rPr>
        <w:fldChar w:fldCharType="begin"/>
      </w:r>
      <w:r>
        <w:rPr>
          <w:rFonts w:hint="default" w:ascii="仿宋_GB2312" w:hAnsi="仿宋_GB2312" w:eastAsia="仿宋_GB2312" w:cs="仿宋_GB2312"/>
          <w:bCs w:val="0"/>
          <w:caps w:val="0"/>
          <w:color w:val="auto"/>
        </w:rPr>
        <w:instrText xml:space="preserve"> HYPERLINK \l _Toc739 </w:instrText>
      </w:r>
      <w:r>
        <w:rPr>
          <w:rFonts w:hint="default" w:ascii="仿宋_GB2312" w:hAnsi="仿宋_GB2312" w:eastAsia="仿宋_GB2312" w:cs="仿宋_GB2312"/>
          <w:bCs w:val="0"/>
          <w:caps w:val="0"/>
          <w:color w:val="auto"/>
        </w:rPr>
        <w:fldChar w:fldCharType="separate"/>
      </w:r>
      <w:r>
        <w:rPr>
          <w:rFonts w:hint="default"/>
          <w:color w:val="auto"/>
        </w:rPr>
        <w:t>1 建设项目及水土保持工作概况</w:t>
      </w:r>
      <w:r>
        <w:rPr>
          <w:color w:val="auto"/>
        </w:rPr>
        <w:tab/>
      </w:r>
      <w:r>
        <w:rPr>
          <w:color w:val="auto"/>
        </w:rPr>
        <w:fldChar w:fldCharType="begin"/>
      </w:r>
      <w:r>
        <w:rPr>
          <w:color w:val="auto"/>
        </w:rPr>
        <w:instrText xml:space="preserve"> PAGEREF _Toc739 </w:instrText>
      </w:r>
      <w:r>
        <w:rPr>
          <w:color w:val="auto"/>
        </w:rPr>
        <w:fldChar w:fldCharType="separate"/>
      </w:r>
      <w:r>
        <w:rPr>
          <w:color w:val="auto"/>
        </w:rPr>
        <w:t>1</w:t>
      </w:r>
      <w:r>
        <w:rPr>
          <w:color w:val="auto"/>
        </w:rPr>
        <w:fldChar w:fldCharType="end"/>
      </w:r>
      <w:r>
        <w:rPr>
          <w:rFonts w:hint="default" w:ascii="仿宋_GB2312" w:hAnsi="仿宋_GB2312" w:eastAsia="仿宋_GB2312" w:cs="仿宋_GB2312"/>
          <w:bCs w:val="0"/>
          <w:caps w:val="0"/>
          <w:color w:val="auto"/>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_Toc20899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1.1项目概况</w:t>
      </w:r>
      <w:r>
        <w:rPr>
          <w:color w:val="auto"/>
        </w:rPr>
        <w:tab/>
      </w:r>
      <w:r>
        <w:rPr>
          <w:color w:val="auto"/>
        </w:rPr>
        <w:fldChar w:fldCharType="begin"/>
      </w:r>
      <w:r>
        <w:rPr>
          <w:color w:val="auto"/>
        </w:rPr>
        <w:instrText xml:space="preserve"> PAGEREF _Toc20899 </w:instrText>
      </w:r>
      <w:r>
        <w:rPr>
          <w:color w:val="auto"/>
        </w:rPr>
        <w:fldChar w:fldCharType="separate"/>
      </w:r>
      <w:r>
        <w:rPr>
          <w:color w:val="auto"/>
        </w:rPr>
        <w:t>1</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_Toc21137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eastAsia"/>
          <w:color w:val="auto"/>
          <w:lang w:val="en-US" w:eastAsia="zh-CN"/>
        </w:rPr>
        <w:t>1.2.</w:t>
      </w:r>
      <w:r>
        <w:rPr>
          <w:rFonts w:hint="eastAsia"/>
          <w:color w:val="auto"/>
          <w:lang w:eastAsia="zh-CN"/>
        </w:rPr>
        <w:t>项目区概况</w:t>
      </w:r>
      <w:r>
        <w:rPr>
          <w:color w:val="auto"/>
        </w:rPr>
        <w:tab/>
      </w:r>
      <w:r>
        <w:rPr>
          <w:color w:val="auto"/>
        </w:rPr>
        <w:fldChar w:fldCharType="begin"/>
      </w:r>
      <w:r>
        <w:rPr>
          <w:color w:val="auto"/>
        </w:rPr>
        <w:instrText xml:space="preserve"> PAGEREF _Toc21137 </w:instrText>
      </w:r>
      <w:r>
        <w:rPr>
          <w:color w:val="auto"/>
        </w:rPr>
        <w:fldChar w:fldCharType="separate"/>
      </w:r>
      <w:r>
        <w:rPr>
          <w:color w:val="auto"/>
        </w:rPr>
        <w:t>6</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_Toc21803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1.</w:t>
      </w:r>
      <w:r>
        <w:rPr>
          <w:rFonts w:hint="eastAsia"/>
          <w:color w:val="auto"/>
          <w:lang w:val="en-US" w:eastAsia="zh-CN"/>
        </w:rPr>
        <w:t>3</w:t>
      </w:r>
      <w:r>
        <w:rPr>
          <w:rFonts w:hint="default"/>
          <w:color w:val="auto"/>
        </w:rPr>
        <w:t>水土流失防治工作情况</w:t>
      </w:r>
      <w:r>
        <w:rPr>
          <w:color w:val="auto"/>
        </w:rPr>
        <w:tab/>
      </w:r>
      <w:r>
        <w:rPr>
          <w:color w:val="auto"/>
        </w:rPr>
        <w:fldChar w:fldCharType="begin"/>
      </w:r>
      <w:r>
        <w:rPr>
          <w:color w:val="auto"/>
        </w:rPr>
        <w:instrText xml:space="preserve"> PAGEREF _Toc21803 </w:instrText>
      </w:r>
      <w:r>
        <w:rPr>
          <w:color w:val="auto"/>
        </w:rPr>
        <w:fldChar w:fldCharType="separate"/>
      </w:r>
      <w:r>
        <w:rPr>
          <w:color w:val="auto"/>
        </w:rPr>
        <w:t>7</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_Toc5727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1.</w:t>
      </w:r>
      <w:r>
        <w:rPr>
          <w:rFonts w:hint="eastAsia"/>
          <w:color w:val="auto"/>
          <w:lang w:val="en-US" w:eastAsia="zh-CN"/>
        </w:rPr>
        <w:t>4</w:t>
      </w:r>
      <w:r>
        <w:rPr>
          <w:rFonts w:hint="default"/>
          <w:color w:val="auto"/>
        </w:rPr>
        <w:t>监测工作实施概况</w:t>
      </w:r>
      <w:r>
        <w:rPr>
          <w:color w:val="auto"/>
        </w:rPr>
        <w:tab/>
      </w:r>
      <w:r>
        <w:rPr>
          <w:color w:val="auto"/>
        </w:rPr>
        <w:fldChar w:fldCharType="begin"/>
      </w:r>
      <w:r>
        <w:rPr>
          <w:color w:val="auto"/>
        </w:rPr>
        <w:instrText xml:space="preserve"> PAGEREF _Toc5727 </w:instrText>
      </w:r>
      <w:r>
        <w:rPr>
          <w:color w:val="auto"/>
        </w:rPr>
        <w:fldChar w:fldCharType="separate"/>
      </w:r>
      <w:r>
        <w:rPr>
          <w:color w:val="auto"/>
        </w:rPr>
        <w:t>8</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9"/>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_Toc11309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2监测内容、方法及过程</w:t>
      </w:r>
      <w:r>
        <w:rPr>
          <w:color w:val="auto"/>
        </w:rPr>
        <w:tab/>
      </w:r>
      <w:r>
        <w:rPr>
          <w:color w:val="auto"/>
        </w:rPr>
        <w:fldChar w:fldCharType="begin"/>
      </w:r>
      <w:r>
        <w:rPr>
          <w:color w:val="auto"/>
        </w:rPr>
        <w:instrText xml:space="preserve"> PAGEREF _Toc11309 </w:instrText>
      </w:r>
      <w:r>
        <w:rPr>
          <w:color w:val="auto"/>
        </w:rPr>
        <w:fldChar w:fldCharType="separate"/>
      </w:r>
      <w:r>
        <w:rPr>
          <w:color w:val="auto"/>
        </w:rPr>
        <w:t>11</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_Toc311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2.1监测内容</w:t>
      </w:r>
      <w:r>
        <w:rPr>
          <w:color w:val="auto"/>
        </w:rPr>
        <w:tab/>
      </w:r>
      <w:r>
        <w:rPr>
          <w:color w:val="auto"/>
        </w:rPr>
        <w:fldChar w:fldCharType="begin"/>
      </w:r>
      <w:r>
        <w:rPr>
          <w:color w:val="auto"/>
        </w:rPr>
        <w:instrText xml:space="preserve"> PAGEREF _Toc311 </w:instrText>
      </w:r>
      <w:r>
        <w:rPr>
          <w:color w:val="auto"/>
        </w:rPr>
        <w:fldChar w:fldCharType="separate"/>
      </w:r>
      <w:r>
        <w:rPr>
          <w:color w:val="auto"/>
        </w:rPr>
        <w:t>11</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_Toc5800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2.2监测方法</w:t>
      </w:r>
      <w:r>
        <w:rPr>
          <w:color w:val="auto"/>
        </w:rPr>
        <w:tab/>
      </w:r>
      <w:r>
        <w:rPr>
          <w:color w:val="auto"/>
        </w:rPr>
        <w:fldChar w:fldCharType="begin"/>
      </w:r>
      <w:r>
        <w:rPr>
          <w:color w:val="auto"/>
        </w:rPr>
        <w:instrText xml:space="preserve"> PAGEREF _Toc5800 </w:instrText>
      </w:r>
      <w:r>
        <w:rPr>
          <w:color w:val="auto"/>
        </w:rPr>
        <w:fldChar w:fldCharType="separate"/>
      </w:r>
      <w:r>
        <w:rPr>
          <w:color w:val="auto"/>
        </w:rPr>
        <w:t>14</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_Toc20692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2.3监测过程</w:t>
      </w:r>
      <w:r>
        <w:rPr>
          <w:color w:val="auto"/>
        </w:rPr>
        <w:tab/>
      </w:r>
      <w:r>
        <w:rPr>
          <w:color w:val="auto"/>
        </w:rPr>
        <w:fldChar w:fldCharType="begin"/>
      </w:r>
      <w:r>
        <w:rPr>
          <w:color w:val="auto"/>
        </w:rPr>
        <w:instrText xml:space="preserve"> PAGEREF _Toc20692 </w:instrText>
      </w:r>
      <w:r>
        <w:rPr>
          <w:color w:val="auto"/>
        </w:rPr>
        <w:fldChar w:fldCharType="separate"/>
      </w:r>
      <w:r>
        <w:rPr>
          <w:color w:val="auto"/>
        </w:rPr>
        <w:t>17</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9"/>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_Toc19011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3 重点部位水土流失动态监测结果</w:t>
      </w:r>
      <w:r>
        <w:rPr>
          <w:color w:val="auto"/>
        </w:rPr>
        <w:tab/>
      </w:r>
      <w:r>
        <w:rPr>
          <w:color w:val="auto"/>
        </w:rPr>
        <w:fldChar w:fldCharType="begin"/>
      </w:r>
      <w:r>
        <w:rPr>
          <w:color w:val="auto"/>
        </w:rPr>
        <w:instrText xml:space="preserve"> PAGEREF _Toc19011 </w:instrText>
      </w:r>
      <w:r>
        <w:rPr>
          <w:color w:val="auto"/>
        </w:rPr>
        <w:fldChar w:fldCharType="separate"/>
      </w:r>
      <w:r>
        <w:rPr>
          <w:color w:val="auto"/>
        </w:rPr>
        <w:t>19</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_Toc24528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3.1防治责任范围监测结果</w:t>
      </w:r>
      <w:r>
        <w:rPr>
          <w:color w:val="auto"/>
        </w:rPr>
        <w:tab/>
      </w:r>
      <w:r>
        <w:rPr>
          <w:color w:val="auto"/>
        </w:rPr>
        <w:fldChar w:fldCharType="begin"/>
      </w:r>
      <w:r>
        <w:rPr>
          <w:color w:val="auto"/>
        </w:rPr>
        <w:instrText xml:space="preserve"> PAGEREF _Toc24528 </w:instrText>
      </w:r>
      <w:r>
        <w:rPr>
          <w:color w:val="auto"/>
        </w:rPr>
        <w:fldChar w:fldCharType="separate"/>
      </w:r>
      <w:r>
        <w:rPr>
          <w:color w:val="auto"/>
        </w:rPr>
        <w:t>19</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_Toc27792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3.2取土（石）监测结果</w:t>
      </w:r>
      <w:r>
        <w:rPr>
          <w:color w:val="auto"/>
        </w:rPr>
        <w:tab/>
      </w:r>
      <w:r>
        <w:rPr>
          <w:color w:val="auto"/>
        </w:rPr>
        <w:fldChar w:fldCharType="begin"/>
      </w:r>
      <w:r>
        <w:rPr>
          <w:color w:val="auto"/>
        </w:rPr>
        <w:instrText xml:space="preserve"> PAGEREF _Toc27792 </w:instrText>
      </w:r>
      <w:r>
        <w:rPr>
          <w:color w:val="auto"/>
        </w:rPr>
        <w:fldChar w:fldCharType="separate"/>
      </w:r>
      <w:r>
        <w:rPr>
          <w:color w:val="auto"/>
        </w:rPr>
        <w:t>21</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_Toc9543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3.3弃土监测结果</w:t>
      </w:r>
      <w:r>
        <w:rPr>
          <w:color w:val="auto"/>
        </w:rPr>
        <w:tab/>
      </w:r>
      <w:r>
        <w:rPr>
          <w:color w:val="auto"/>
        </w:rPr>
        <w:fldChar w:fldCharType="begin"/>
      </w:r>
      <w:r>
        <w:rPr>
          <w:color w:val="auto"/>
        </w:rPr>
        <w:instrText xml:space="preserve"> PAGEREF _Toc9543 </w:instrText>
      </w:r>
      <w:r>
        <w:rPr>
          <w:color w:val="auto"/>
        </w:rPr>
        <w:fldChar w:fldCharType="separate"/>
      </w:r>
      <w:r>
        <w:rPr>
          <w:color w:val="auto"/>
        </w:rPr>
        <w:t>21</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9"/>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_Toc18602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4 水土流失防治措施监测结果</w:t>
      </w:r>
      <w:r>
        <w:rPr>
          <w:color w:val="auto"/>
        </w:rPr>
        <w:tab/>
      </w:r>
      <w:r>
        <w:rPr>
          <w:color w:val="auto"/>
        </w:rPr>
        <w:fldChar w:fldCharType="begin"/>
      </w:r>
      <w:r>
        <w:rPr>
          <w:color w:val="auto"/>
        </w:rPr>
        <w:instrText xml:space="preserve"> PAGEREF _Toc18602 </w:instrText>
      </w:r>
      <w:r>
        <w:rPr>
          <w:color w:val="auto"/>
        </w:rPr>
        <w:fldChar w:fldCharType="separate"/>
      </w:r>
      <w:r>
        <w:rPr>
          <w:color w:val="auto"/>
        </w:rPr>
        <w:t>22</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_Toc30359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4.1工程措施监测结果</w:t>
      </w:r>
      <w:r>
        <w:rPr>
          <w:color w:val="auto"/>
        </w:rPr>
        <w:tab/>
      </w:r>
      <w:r>
        <w:rPr>
          <w:color w:val="auto"/>
        </w:rPr>
        <w:fldChar w:fldCharType="begin"/>
      </w:r>
      <w:r>
        <w:rPr>
          <w:color w:val="auto"/>
        </w:rPr>
        <w:instrText xml:space="preserve"> PAGEREF _Toc30359 </w:instrText>
      </w:r>
      <w:r>
        <w:rPr>
          <w:color w:val="auto"/>
        </w:rPr>
        <w:fldChar w:fldCharType="separate"/>
      </w:r>
      <w:r>
        <w:rPr>
          <w:color w:val="auto"/>
        </w:rPr>
        <w:t>22</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_Toc25212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4.2植物措施监测结果</w:t>
      </w:r>
      <w:r>
        <w:rPr>
          <w:color w:val="auto"/>
        </w:rPr>
        <w:tab/>
      </w:r>
      <w:r>
        <w:rPr>
          <w:color w:val="auto"/>
        </w:rPr>
        <w:fldChar w:fldCharType="begin"/>
      </w:r>
      <w:r>
        <w:rPr>
          <w:color w:val="auto"/>
        </w:rPr>
        <w:instrText xml:space="preserve"> PAGEREF _Toc25212 </w:instrText>
      </w:r>
      <w:r>
        <w:rPr>
          <w:color w:val="auto"/>
        </w:rPr>
        <w:fldChar w:fldCharType="separate"/>
      </w:r>
      <w:r>
        <w:rPr>
          <w:color w:val="auto"/>
        </w:rPr>
        <w:t>22</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_Toc17402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4.</w:t>
      </w:r>
      <w:r>
        <w:rPr>
          <w:rFonts w:hint="eastAsia"/>
          <w:color w:val="auto"/>
          <w:lang w:val="en-US" w:eastAsia="zh-CN"/>
        </w:rPr>
        <w:t>3</w:t>
      </w:r>
      <w:r>
        <w:rPr>
          <w:rFonts w:hint="default"/>
          <w:color w:val="auto"/>
        </w:rPr>
        <w:t>水土保持措施防治效果</w:t>
      </w:r>
      <w:r>
        <w:rPr>
          <w:color w:val="auto"/>
        </w:rPr>
        <w:tab/>
      </w:r>
      <w:r>
        <w:rPr>
          <w:color w:val="auto"/>
        </w:rPr>
        <w:fldChar w:fldCharType="begin"/>
      </w:r>
      <w:r>
        <w:rPr>
          <w:color w:val="auto"/>
        </w:rPr>
        <w:instrText xml:space="preserve"> PAGEREF _Toc17402 </w:instrText>
      </w:r>
      <w:r>
        <w:rPr>
          <w:color w:val="auto"/>
        </w:rPr>
        <w:fldChar w:fldCharType="separate"/>
      </w:r>
      <w:r>
        <w:rPr>
          <w:color w:val="auto"/>
        </w:rPr>
        <w:t>23</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9"/>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_Toc23914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5 土壤流失量分析</w:t>
      </w:r>
      <w:r>
        <w:rPr>
          <w:color w:val="auto"/>
        </w:rPr>
        <w:tab/>
      </w:r>
      <w:r>
        <w:rPr>
          <w:color w:val="auto"/>
        </w:rPr>
        <w:fldChar w:fldCharType="begin"/>
      </w:r>
      <w:r>
        <w:rPr>
          <w:color w:val="auto"/>
        </w:rPr>
        <w:instrText xml:space="preserve"> PAGEREF _Toc23914 </w:instrText>
      </w:r>
      <w:r>
        <w:rPr>
          <w:color w:val="auto"/>
        </w:rPr>
        <w:fldChar w:fldCharType="separate"/>
      </w:r>
      <w:r>
        <w:rPr>
          <w:color w:val="auto"/>
        </w:rPr>
        <w:t>33</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_Toc3853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5.1水土流失面积</w:t>
      </w:r>
      <w:r>
        <w:rPr>
          <w:color w:val="auto"/>
        </w:rPr>
        <w:tab/>
      </w:r>
      <w:r>
        <w:rPr>
          <w:color w:val="auto"/>
        </w:rPr>
        <w:fldChar w:fldCharType="begin"/>
      </w:r>
      <w:r>
        <w:rPr>
          <w:color w:val="auto"/>
        </w:rPr>
        <w:instrText xml:space="preserve"> PAGEREF _Toc3853 </w:instrText>
      </w:r>
      <w:r>
        <w:rPr>
          <w:color w:val="auto"/>
        </w:rPr>
        <w:fldChar w:fldCharType="separate"/>
      </w:r>
      <w:r>
        <w:rPr>
          <w:color w:val="auto"/>
        </w:rPr>
        <w:t>33</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_Toc6463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5.2 土壤流失量</w:t>
      </w:r>
      <w:r>
        <w:rPr>
          <w:color w:val="auto"/>
        </w:rPr>
        <w:tab/>
      </w:r>
      <w:r>
        <w:rPr>
          <w:color w:val="auto"/>
        </w:rPr>
        <w:fldChar w:fldCharType="begin"/>
      </w:r>
      <w:r>
        <w:rPr>
          <w:color w:val="auto"/>
        </w:rPr>
        <w:instrText xml:space="preserve"> PAGEREF _Toc6463 </w:instrText>
      </w:r>
      <w:r>
        <w:rPr>
          <w:color w:val="auto"/>
        </w:rPr>
        <w:fldChar w:fldCharType="separate"/>
      </w:r>
      <w:r>
        <w:rPr>
          <w:color w:val="auto"/>
        </w:rPr>
        <w:t>33</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_Toc4742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5.4水土流失危害</w:t>
      </w:r>
      <w:r>
        <w:rPr>
          <w:color w:val="auto"/>
        </w:rPr>
        <w:tab/>
      </w:r>
      <w:r>
        <w:rPr>
          <w:color w:val="auto"/>
        </w:rPr>
        <w:fldChar w:fldCharType="begin"/>
      </w:r>
      <w:r>
        <w:rPr>
          <w:color w:val="auto"/>
        </w:rPr>
        <w:instrText xml:space="preserve"> PAGEREF _Toc4742 </w:instrText>
      </w:r>
      <w:r>
        <w:rPr>
          <w:color w:val="auto"/>
        </w:rPr>
        <w:fldChar w:fldCharType="separate"/>
      </w:r>
      <w:r>
        <w:rPr>
          <w:color w:val="auto"/>
        </w:rPr>
        <w:t>34</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9"/>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_Toc16266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6水土流失防治效果监测结果</w:t>
      </w:r>
      <w:r>
        <w:rPr>
          <w:color w:val="auto"/>
        </w:rPr>
        <w:tab/>
      </w:r>
      <w:r>
        <w:rPr>
          <w:color w:val="auto"/>
        </w:rPr>
        <w:fldChar w:fldCharType="begin"/>
      </w:r>
      <w:r>
        <w:rPr>
          <w:color w:val="auto"/>
        </w:rPr>
        <w:instrText xml:space="preserve"> PAGEREF _Toc16266 </w:instrText>
      </w:r>
      <w:r>
        <w:rPr>
          <w:color w:val="auto"/>
        </w:rPr>
        <w:fldChar w:fldCharType="separate"/>
      </w:r>
      <w:r>
        <w:rPr>
          <w:color w:val="auto"/>
        </w:rPr>
        <w:t>35</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_Toc3238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6.1扰动土地整治率</w:t>
      </w:r>
      <w:r>
        <w:rPr>
          <w:color w:val="auto"/>
        </w:rPr>
        <w:tab/>
      </w:r>
      <w:r>
        <w:rPr>
          <w:color w:val="auto"/>
        </w:rPr>
        <w:fldChar w:fldCharType="begin"/>
      </w:r>
      <w:r>
        <w:rPr>
          <w:color w:val="auto"/>
        </w:rPr>
        <w:instrText xml:space="preserve"> PAGEREF _Toc3238 </w:instrText>
      </w:r>
      <w:r>
        <w:rPr>
          <w:color w:val="auto"/>
        </w:rPr>
        <w:fldChar w:fldCharType="separate"/>
      </w:r>
      <w:r>
        <w:rPr>
          <w:color w:val="auto"/>
        </w:rPr>
        <w:t>35</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_Toc3273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6.3拦渣率</w:t>
      </w:r>
      <w:r>
        <w:rPr>
          <w:color w:val="auto"/>
        </w:rPr>
        <w:tab/>
      </w:r>
      <w:r>
        <w:rPr>
          <w:color w:val="auto"/>
        </w:rPr>
        <w:fldChar w:fldCharType="begin"/>
      </w:r>
      <w:r>
        <w:rPr>
          <w:color w:val="auto"/>
        </w:rPr>
        <w:instrText xml:space="preserve"> PAGEREF _Toc3273 </w:instrText>
      </w:r>
      <w:r>
        <w:rPr>
          <w:color w:val="auto"/>
        </w:rPr>
        <w:fldChar w:fldCharType="separate"/>
      </w:r>
      <w:r>
        <w:rPr>
          <w:color w:val="auto"/>
        </w:rPr>
        <w:t>35</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_Toc27177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6.4土壤流失控制比</w:t>
      </w:r>
      <w:r>
        <w:rPr>
          <w:color w:val="auto"/>
        </w:rPr>
        <w:tab/>
      </w:r>
      <w:r>
        <w:rPr>
          <w:color w:val="auto"/>
        </w:rPr>
        <w:fldChar w:fldCharType="begin"/>
      </w:r>
      <w:r>
        <w:rPr>
          <w:color w:val="auto"/>
        </w:rPr>
        <w:instrText xml:space="preserve"> PAGEREF _Toc27177 </w:instrText>
      </w:r>
      <w:r>
        <w:rPr>
          <w:color w:val="auto"/>
        </w:rPr>
        <w:fldChar w:fldCharType="separate"/>
      </w:r>
      <w:r>
        <w:rPr>
          <w:color w:val="auto"/>
        </w:rPr>
        <w:t>35</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_Toc15387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6.5林草植被恢复率</w:t>
      </w:r>
      <w:r>
        <w:rPr>
          <w:color w:val="auto"/>
        </w:rPr>
        <w:tab/>
      </w:r>
      <w:r>
        <w:rPr>
          <w:color w:val="auto"/>
        </w:rPr>
        <w:fldChar w:fldCharType="begin"/>
      </w:r>
      <w:r>
        <w:rPr>
          <w:color w:val="auto"/>
        </w:rPr>
        <w:instrText xml:space="preserve"> PAGEREF _Toc15387 </w:instrText>
      </w:r>
      <w:r>
        <w:rPr>
          <w:color w:val="auto"/>
        </w:rPr>
        <w:fldChar w:fldCharType="separate"/>
      </w:r>
      <w:r>
        <w:rPr>
          <w:color w:val="auto"/>
        </w:rPr>
        <w:t>35</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_Toc15810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6.6林草覆盖率</w:t>
      </w:r>
      <w:r>
        <w:rPr>
          <w:color w:val="auto"/>
        </w:rPr>
        <w:tab/>
      </w:r>
      <w:r>
        <w:rPr>
          <w:color w:val="auto"/>
        </w:rPr>
        <w:fldChar w:fldCharType="begin"/>
      </w:r>
      <w:r>
        <w:rPr>
          <w:color w:val="auto"/>
        </w:rPr>
        <w:instrText xml:space="preserve"> PAGEREF _Toc15810 </w:instrText>
      </w:r>
      <w:r>
        <w:rPr>
          <w:color w:val="auto"/>
        </w:rPr>
        <w:fldChar w:fldCharType="separate"/>
      </w:r>
      <w:r>
        <w:rPr>
          <w:color w:val="auto"/>
        </w:rPr>
        <w:t>36</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_Toc29004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eastAsia"/>
          <w:color w:val="auto"/>
          <w:lang w:val="en-US" w:eastAsia="zh-CN"/>
        </w:rPr>
        <w:t>6.7</w:t>
      </w:r>
      <w:r>
        <w:rPr>
          <w:color w:val="auto"/>
        </w:rPr>
        <w:t>水土保持效果达标情况</w:t>
      </w:r>
      <w:r>
        <w:rPr>
          <w:color w:val="auto"/>
        </w:rPr>
        <w:tab/>
      </w:r>
      <w:r>
        <w:rPr>
          <w:color w:val="auto"/>
        </w:rPr>
        <w:fldChar w:fldCharType="begin"/>
      </w:r>
      <w:r>
        <w:rPr>
          <w:color w:val="auto"/>
        </w:rPr>
        <w:instrText xml:space="preserve"> PAGEREF _Toc29004 </w:instrText>
      </w:r>
      <w:r>
        <w:rPr>
          <w:color w:val="auto"/>
        </w:rPr>
        <w:fldChar w:fldCharType="separate"/>
      </w:r>
      <w:r>
        <w:rPr>
          <w:color w:val="auto"/>
        </w:rPr>
        <w:t>37</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9"/>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_Toc4193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7 结论</w:t>
      </w:r>
      <w:r>
        <w:rPr>
          <w:color w:val="auto"/>
        </w:rPr>
        <w:tab/>
      </w:r>
      <w:r>
        <w:rPr>
          <w:color w:val="auto"/>
        </w:rPr>
        <w:fldChar w:fldCharType="begin"/>
      </w:r>
      <w:r>
        <w:rPr>
          <w:color w:val="auto"/>
        </w:rPr>
        <w:instrText xml:space="preserve"> PAGEREF _Toc4193 </w:instrText>
      </w:r>
      <w:r>
        <w:rPr>
          <w:color w:val="auto"/>
        </w:rPr>
        <w:fldChar w:fldCharType="separate"/>
      </w:r>
      <w:r>
        <w:rPr>
          <w:color w:val="auto"/>
        </w:rPr>
        <w:t>38</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_Toc7288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7.1水土流失动态变化</w:t>
      </w:r>
      <w:r>
        <w:rPr>
          <w:color w:val="auto"/>
        </w:rPr>
        <w:tab/>
      </w:r>
      <w:r>
        <w:rPr>
          <w:color w:val="auto"/>
        </w:rPr>
        <w:fldChar w:fldCharType="begin"/>
      </w:r>
      <w:r>
        <w:rPr>
          <w:color w:val="auto"/>
        </w:rPr>
        <w:instrText xml:space="preserve"> PAGEREF _Toc7288 </w:instrText>
      </w:r>
      <w:r>
        <w:rPr>
          <w:color w:val="auto"/>
        </w:rPr>
        <w:fldChar w:fldCharType="separate"/>
      </w:r>
      <w:r>
        <w:rPr>
          <w:color w:val="auto"/>
        </w:rPr>
        <w:t>38</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_Toc14558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7.2水土保持措施评价</w:t>
      </w:r>
      <w:r>
        <w:rPr>
          <w:color w:val="auto"/>
        </w:rPr>
        <w:tab/>
      </w:r>
      <w:r>
        <w:rPr>
          <w:color w:val="auto"/>
        </w:rPr>
        <w:fldChar w:fldCharType="begin"/>
      </w:r>
      <w:r>
        <w:rPr>
          <w:color w:val="auto"/>
        </w:rPr>
        <w:instrText xml:space="preserve"> PAGEREF _Toc14558 </w:instrText>
      </w:r>
      <w:r>
        <w:rPr>
          <w:color w:val="auto"/>
        </w:rPr>
        <w:fldChar w:fldCharType="separate"/>
      </w:r>
      <w:r>
        <w:rPr>
          <w:color w:val="auto"/>
        </w:rPr>
        <w:t>38</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_Toc27549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7.3存在问题及建议</w:t>
      </w:r>
      <w:r>
        <w:rPr>
          <w:color w:val="auto"/>
        </w:rPr>
        <w:tab/>
      </w:r>
      <w:r>
        <w:rPr>
          <w:color w:val="auto"/>
        </w:rPr>
        <w:fldChar w:fldCharType="begin"/>
      </w:r>
      <w:r>
        <w:rPr>
          <w:color w:val="auto"/>
        </w:rPr>
        <w:instrText xml:space="preserve"> PAGEREF _Toc27549 </w:instrText>
      </w:r>
      <w:r>
        <w:rPr>
          <w:color w:val="auto"/>
        </w:rPr>
        <w:fldChar w:fldCharType="separate"/>
      </w:r>
      <w:r>
        <w:rPr>
          <w:color w:val="auto"/>
        </w:rPr>
        <w:t>39</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keepNext w:val="0"/>
        <w:keepLines w:val="0"/>
        <w:pageBreakBefore w:val="0"/>
        <w:widowControl w:val="0"/>
        <w:kinsoku/>
        <w:wordWrap/>
        <w:overflowPunct/>
        <w:topLinePunct/>
        <w:autoSpaceDE/>
        <w:autoSpaceDN/>
        <w:bidi w:val="0"/>
        <w:adjustRightInd w:val="0"/>
        <w:snapToGrid w:val="0"/>
        <w:spacing w:before="0" w:beforeLines="0" w:after="0" w:afterLines="0" w:line="288" w:lineRule="auto"/>
        <w:ind w:right="0" w:rightChars="0" w:firstLine="0" w:firstLineChars="0"/>
        <w:jc w:val="both"/>
        <w:textAlignment w:val="auto"/>
        <w:outlineLvl w:val="9"/>
        <w:rPr>
          <w:rFonts w:hint="default" w:ascii="Times New Roman" w:hAnsi="Times New Roman" w:eastAsia="宋体" w:cs="Times New Roman"/>
          <w:bCs/>
          <w:caps/>
          <w:color w:val="auto"/>
          <w:kern w:val="2"/>
          <w:szCs w:val="20"/>
          <w:lang w:val="en-US" w:eastAsia="zh-CN" w:bidi="ar-SA"/>
        </w:rPr>
      </w:pPr>
      <w:r>
        <w:rPr>
          <w:rFonts w:hint="default" w:ascii="仿宋_GB2312" w:hAnsi="仿宋_GB2312" w:eastAsia="仿宋_GB2312" w:cs="仿宋_GB2312"/>
          <w:bCs/>
          <w:caps w:val="0"/>
          <w:color w:val="auto"/>
          <w:kern w:val="2"/>
          <w:szCs w:val="20"/>
          <w:lang w:val="en-US" w:eastAsia="zh-CN" w:bidi="ar-SA"/>
        </w:rPr>
        <w:fldChar w:fldCharType="end"/>
      </w:r>
    </w:p>
    <w:p>
      <w:pPr>
        <w:keepNext w:val="0"/>
        <w:keepLines w:val="0"/>
        <w:pageBreakBefore w:val="0"/>
        <w:widowControl w:val="0"/>
        <w:kinsoku/>
        <w:wordWrap/>
        <w:overflowPunct/>
        <w:topLinePunct/>
        <w:autoSpaceDE/>
        <w:autoSpaceDN/>
        <w:bidi w:val="0"/>
        <w:adjustRightInd w:val="0"/>
        <w:snapToGrid w:val="0"/>
        <w:spacing w:before="0" w:beforeLines="0" w:after="0" w:afterLines="0" w:line="288" w:lineRule="auto"/>
        <w:ind w:right="0" w:rightChars="0" w:firstLine="0" w:firstLineChars="0"/>
        <w:jc w:val="both"/>
        <w:textAlignment w:val="auto"/>
        <w:outlineLvl w:val="9"/>
        <w:rPr>
          <w:rFonts w:hint="eastAsia" w:ascii="仿宋_GB2312" w:hAnsi="仿宋_GB2312" w:eastAsia="仿宋_GB2312" w:cs="仿宋_GB2312"/>
          <w:b/>
          <w:color w:val="auto"/>
          <w:sz w:val="24"/>
          <w:szCs w:val="24"/>
        </w:rPr>
        <w:sectPr>
          <w:footerReference r:id="rId3" w:type="default"/>
          <w:pgSz w:w="11906" w:h="16838"/>
          <w:pgMar w:top="851" w:right="1418" w:bottom="851" w:left="1701" w:header="851" w:footer="992" w:gutter="0"/>
          <w:pgBorders>
            <w:top w:val="none" w:sz="0" w:space="0"/>
            <w:left w:val="none" w:sz="0" w:space="0"/>
            <w:bottom w:val="none" w:sz="0" w:space="0"/>
            <w:right w:val="none" w:sz="0" w:space="0"/>
          </w:pgBorders>
          <w:pgNumType w:fmt="decimal" w:start="1"/>
          <w:cols w:space="720" w:num="1"/>
          <w:docGrid w:linePitch="326" w:charSpace="0"/>
        </w:sectPr>
      </w:pPr>
    </w:p>
    <w:p>
      <w:pPr>
        <w:keepNext w:val="0"/>
        <w:keepLines w:val="0"/>
        <w:pageBreakBefore w:val="0"/>
        <w:widowControl w:val="0"/>
        <w:kinsoku/>
        <w:wordWrap/>
        <w:overflowPunct/>
        <w:topLinePunct/>
        <w:autoSpaceDE/>
        <w:autoSpaceDN/>
        <w:bidi w:val="0"/>
        <w:adjustRightInd w:val="0"/>
        <w:snapToGrid w:val="0"/>
        <w:spacing w:before="0" w:beforeLines="0" w:after="0" w:afterLines="0" w:line="288" w:lineRule="auto"/>
        <w:ind w:right="0" w:rightChars="0" w:firstLine="0" w:firstLineChars="0"/>
        <w:jc w:val="both"/>
        <w:textAlignment w:val="auto"/>
        <w:outlineLvl w:val="9"/>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附图：</w:t>
      </w:r>
    </w:p>
    <w:p>
      <w:pPr>
        <w:autoSpaceDE w:val="0"/>
        <w:autoSpaceDN w:val="0"/>
        <w:snapToGrid w:val="0"/>
        <w:spacing w:line="360" w:lineRule="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1、地理位置示意图；</w:t>
      </w:r>
    </w:p>
    <w:p>
      <w:pPr>
        <w:snapToGrid w:val="0"/>
        <w:spacing w:line="360" w:lineRule="auto"/>
        <w:rPr>
          <w:rFonts w:hint="eastAsia" w:eastAsia="仿宋_GB2312" w:cs="Times New Roman"/>
          <w:color w:val="auto"/>
          <w:lang w:val="en-US" w:eastAsia="zh-CN"/>
        </w:rPr>
      </w:pPr>
      <w:r>
        <w:rPr>
          <w:rFonts w:hint="eastAsia" w:cs="Times New Roman"/>
          <w:color w:val="auto"/>
          <w:lang w:val="en-US" w:eastAsia="zh-CN"/>
        </w:rPr>
        <w:t>2、项目建设区总平面布置图；</w:t>
      </w:r>
    </w:p>
    <w:p>
      <w:pPr>
        <w:snapToGrid w:val="0"/>
        <w:spacing w:line="360" w:lineRule="auto"/>
        <w:rPr>
          <w:rFonts w:hint="default" w:ascii="Times New Roman" w:hAnsi="Times New Roman" w:eastAsia="仿宋_GB2312" w:cs="Times New Roman"/>
          <w:color w:val="auto"/>
        </w:rPr>
      </w:pPr>
      <w:r>
        <w:rPr>
          <w:rFonts w:hint="eastAsia" w:cs="Times New Roman"/>
          <w:color w:val="auto"/>
          <w:lang w:val="en-US" w:eastAsia="zh-CN"/>
        </w:rPr>
        <w:t>3</w:t>
      </w:r>
      <w:r>
        <w:rPr>
          <w:rFonts w:hint="default" w:ascii="Times New Roman" w:hAnsi="Times New Roman" w:eastAsia="仿宋_GB2312" w:cs="Times New Roman"/>
          <w:color w:val="auto"/>
        </w:rPr>
        <w:t>、水土保持监测点布置图；</w:t>
      </w:r>
    </w:p>
    <w:p>
      <w:pPr>
        <w:snapToGrid w:val="0"/>
        <w:spacing w:line="360" w:lineRule="auto"/>
        <w:rPr>
          <w:rFonts w:hint="default" w:ascii="Times New Roman" w:hAnsi="Times New Roman" w:eastAsia="仿宋_GB2312" w:cs="Times New Roman"/>
          <w:color w:val="auto"/>
        </w:rPr>
      </w:pPr>
      <w:r>
        <w:rPr>
          <w:rFonts w:hint="eastAsia" w:cs="Times New Roman"/>
          <w:color w:val="auto"/>
          <w:lang w:val="en-US" w:eastAsia="zh-CN"/>
        </w:rPr>
        <w:t>4</w:t>
      </w:r>
      <w:r>
        <w:rPr>
          <w:rFonts w:hint="default" w:ascii="Times New Roman" w:hAnsi="Times New Roman" w:eastAsia="仿宋_GB2312" w:cs="Times New Roman"/>
          <w:color w:val="auto"/>
        </w:rPr>
        <w:t>、扰动地表分布图；</w:t>
      </w:r>
    </w:p>
    <w:p>
      <w:pPr>
        <w:snapToGrid w:val="0"/>
        <w:spacing w:line="360" w:lineRule="auto"/>
        <w:rPr>
          <w:rFonts w:hint="default" w:ascii="Times New Roman" w:hAnsi="Times New Roman" w:eastAsia="仿宋_GB2312" w:cs="Times New Roman"/>
          <w:color w:val="auto"/>
        </w:rPr>
      </w:pPr>
      <w:r>
        <w:rPr>
          <w:rFonts w:hint="eastAsia" w:cs="Times New Roman"/>
          <w:color w:val="auto"/>
          <w:lang w:val="en-US" w:eastAsia="zh-CN"/>
        </w:rPr>
        <w:t>5</w:t>
      </w:r>
      <w:r>
        <w:rPr>
          <w:rFonts w:hint="default" w:ascii="Times New Roman" w:hAnsi="Times New Roman" w:eastAsia="仿宋_GB2312" w:cs="Times New Roman"/>
          <w:color w:val="auto"/>
        </w:rPr>
        <w:t>、土壤侵蚀强度分布图；</w:t>
      </w:r>
    </w:p>
    <w:p>
      <w:pPr>
        <w:snapToGrid w:val="0"/>
        <w:spacing w:line="360" w:lineRule="auto"/>
        <w:rPr>
          <w:rFonts w:hint="eastAsia" w:ascii="Times New Roman" w:hAnsi="Times New Roman" w:eastAsia="宋体" w:cs="Times New Roman"/>
          <w:color w:val="auto"/>
          <w:lang w:val="en-US" w:eastAsia="zh-CN"/>
        </w:rPr>
      </w:pPr>
    </w:p>
    <w:p>
      <w:pPr>
        <w:spacing w:line="360" w:lineRule="auto"/>
        <w:ind w:left="0" w:leftChars="0" w:firstLine="0" w:firstLineChars="0"/>
        <w:rPr>
          <w:rFonts w:hint="default" w:ascii="Times New Roman" w:hAnsi="Times New Roman" w:eastAsia="宋体" w:cs="Times New Roman"/>
          <w:color w:val="auto"/>
        </w:rPr>
        <w:sectPr>
          <w:footerReference r:id="rId4" w:type="default"/>
          <w:type w:val="continuous"/>
          <w:pgSz w:w="11906" w:h="16838"/>
          <w:pgMar w:top="851" w:right="1418" w:bottom="851" w:left="1701" w:header="851" w:footer="992" w:gutter="0"/>
          <w:pgBorders>
            <w:top w:val="none" w:sz="0" w:space="0"/>
            <w:left w:val="none" w:sz="0" w:space="0"/>
            <w:bottom w:val="none" w:sz="0" w:space="0"/>
            <w:right w:val="none" w:sz="0" w:space="0"/>
          </w:pgBorders>
          <w:pgNumType w:fmt="decimal"/>
          <w:cols w:space="720" w:num="1"/>
          <w:docGrid w:linePitch="326" w:charSpace="0"/>
        </w:sectPr>
      </w:pPr>
    </w:p>
    <w:tbl>
      <w:tblPr>
        <w:tblStyle w:val="11"/>
        <w:tblW w:w="8421"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68" w:type="dxa"/>
          <w:bottom w:w="0" w:type="dxa"/>
          <w:right w:w="68" w:type="dxa"/>
        </w:tblCellMar>
      </w:tblPr>
      <w:tblGrid>
        <w:gridCol w:w="460"/>
        <w:gridCol w:w="460"/>
        <w:gridCol w:w="896"/>
        <w:gridCol w:w="896"/>
        <w:gridCol w:w="896"/>
        <w:gridCol w:w="169"/>
        <w:gridCol w:w="377"/>
        <w:gridCol w:w="246"/>
        <w:gridCol w:w="641"/>
        <w:gridCol w:w="117"/>
        <w:gridCol w:w="833"/>
        <w:gridCol w:w="638"/>
        <w:gridCol w:w="441"/>
        <w:gridCol w:w="386"/>
        <w:gridCol w:w="96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429" w:hRule="atLeast"/>
          <w:jc w:val="center"/>
        </w:trPr>
        <w:tc>
          <w:tcPr>
            <w:tcW w:w="8421" w:type="dxa"/>
            <w:gridSpan w:val="15"/>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eastAsia"/>
                <w:color w:val="auto"/>
                <w:sz w:val="18"/>
                <w:szCs w:val="18"/>
                <w:lang w:val="en-US" w:eastAsia="zh-CN"/>
              </w:rPr>
              <w:t>生产</w:t>
            </w:r>
            <w:r>
              <w:rPr>
                <w:rFonts w:hint="default"/>
                <w:color w:val="auto"/>
                <w:sz w:val="18"/>
                <w:szCs w:val="18"/>
                <w:lang w:eastAsia="zh-CN"/>
              </w:rPr>
              <w:t>建设项目水土保持监测特性表                 填表时间：20</w:t>
            </w:r>
            <w:r>
              <w:rPr>
                <w:rFonts w:hint="eastAsia"/>
                <w:color w:val="auto"/>
                <w:sz w:val="18"/>
                <w:szCs w:val="18"/>
                <w:lang w:val="en-US" w:eastAsia="zh-CN"/>
              </w:rPr>
              <w:t>20</w:t>
            </w:r>
            <w:r>
              <w:rPr>
                <w:rFonts w:hint="default"/>
                <w:color w:val="auto"/>
                <w:sz w:val="18"/>
                <w:szCs w:val="18"/>
                <w:lang w:eastAsia="zh-CN"/>
              </w:rPr>
              <w:t>年</w:t>
            </w:r>
            <w:r>
              <w:rPr>
                <w:rFonts w:hint="eastAsia"/>
                <w:color w:val="auto"/>
                <w:sz w:val="18"/>
                <w:szCs w:val="18"/>
                <w:lang w:val="en-US" w:eastAsia="zh-CN"/>
              </w:rPr>
              <w:t>10</w:t>
            </w:r>
            <w:r>
              <w:rPr>
                <w:rFonts w:hint="default"/>
                <w:color w:val="auto"/>
                <w:sz w:val="18"/>
                <w:szCs w:val="18"/>
                <w:lang w:eastAsia="zh-CN"/>
              </w:rPr>
              <w:t>月</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340" w:hRule="atLeast"/>
          <w:jc w:val="center"/>
        </w:trPr>
        <w:tc>
          <w:tcPr>
            <w:tcW w:w="8421" w:type="dxa"/>
            <w:gridSpan w:val="15"/>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主体工程主要技术指标</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340" w:hRule="atLeast"/>
          <w:jc w:val="center"/>
        </w:trPr>
        <w:tc>
          <w:tcPr>
            <w:tcW w:w="1816" w:type="dxa"/>
            <w:gridSpan w:val="3"/>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项目名称</w:t>
            </w:r>
          </w:p>
        </w:tc>
        <w:tc>
          <w:tcPr>
            <w:tcW w:w="6605" w:type="dxa"/>
            <w:gridSpan w:val="12"/>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eastAsia"/>
                <w:color w:val="auto"/>
                <w:sz w:val="18"/>
                <w:szCs w:val="18"/>
                <w:lang w:eastAsia="zh-CN"/>
              </w:rPr>
              <w:t>G320线普安江西坡至三板桥段改扩建工程（县城段）</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90" w:hRule="atLeast"/>
          <w:jc w:val="center"/>
        </w:trPr>
        <w:tc>
          <w:tcPr>
            <w:tcW w:w="920" w:type="dxa"/>
            <w:gridSpan w:val="2"/>
            <w:vMerge w:val="restart"/>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建设规模</w:t>
            </w:r>
          </w:p>
        </w:tc>
        <w:tc>
          <w:tcPr>
            <w:tcW w:w="2857" w:type="dxa"/>
            <w:gridSpan w:val="4"/>
            <w:vMerge w:val="restart"/>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道路全长39.302km，全线按二级公路标准进行改造，设计速度40km/h</w:t>
            </w:r>
          </w:p>
        </w:tc>
        <w:tc>
          <w:tcPr>
            <w:tcW w:w="1381" w:type="dxa"/>
            <w:gridSpan w:val="4"/>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建设单位</w:t>
            </w:r>
          </w:p>
        </w:tc>
        <w:tc>
          <w:tcPr>
            <w:tcW w:w="3263" w:type="dxa"/>
            <w:gridSpan w:val="5"/>
            <w:tcBorders>
              <w:tl2br w:val="nil"/>
              <w:tr2bl w:val="nil"/>
            </w:tcBorders>
            <w:tcMar>
              <w:top w:w="0" w:type="dxa"/>
              <w:left w:w="57" w:type="dxa"/>
              <w:bottom w:w="0" w:type="dxa"/>
              <w:right w:w="57" w:type="dxa"/>
            </w:tcMar>
            <w:vAlign w:val="center"/>
          </w:tcPr>
          <w:p>
            <w:pPr>
              <w:pStyle w:val="16"/>
              <w:rPr>
                <w:rFonts w:hint="eastAsia"/>
                <w:color w:val="auto"/>
                <w:sz w:val="18"/>
                <w:szCs w:val="18"/>
                <w:lang w:eastAsia="zh-CN"/>
              </w:rPr>
            </w:pPr>
            <w:r>
              <w:rPr>
                <w:rFonts w:hint="eastAsia"/>
                <w:color w:val="auto"/>
                <w:sz w:val="18"/>
                <w:szCs w:val="18"/>
                <w:lang w:eastAsia="zh-CN"/>
              </w:rPr>
              <w:t>普安县交通运输局</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90" w:hRule="atLeast"/>
          <w:jc w:val="center"/>
        </w:trPr>
        <w:tc>
          <w:tcPr>
            <w:tcW w:w="920" w:type="dxa"/>
            <w:gridSpan w:val="2"/>
            <w:vMerge w:val="continue"/>
            <w:tcBorders>
              <w:tl2br w:val="nil"/>
              <w:tr2bl w:val="nil"/>
            </w:tcBorders>
            <w:vAlign w:val="center"/>
          </w:tcPr>
          <w:p>
            <w:pPr>
              <w:pStyle w:val="16"/>
              <w:rPr>
                <w:rFonts w:hint="default"/>
                <w:color w:val="auto"/>
                <w:sz w:val="18"/>
                <w:szCs w:val="18"/>
                <w:lang w:eastAsia="zh-CN"/>
              </w:rPr>
            </w:pPr>
          </w:p>
        </w:tc>
        <w:tc>
          <w:tcPr>
            <w:tcW w:w="2857" w:type="dxa"/>
            <w:gridSpan w:val="4"/>
            <w:vMerge w:val="continue"/>
            <w:tcBorders>
              <w:tl2br w:val="nil"/>
              <w:tr2bl w:val="nil"/>
            </w:tcBorders>
            <w:vAlign w:val="center"/>
          </w:tcPr>
          <w:p>
            <w:pPr>
              <w:pStyle w:val="16"/>
              <w:rPr>
                <w:rFonts w:hint="default"/>
                <w:color w:val="auto"/>
                <w:sz w:val="18"/>
                <w:szCs w:val="18"/>
                <w:lang w:eastAsia="zh-CN"/>
              </w:rPr>
            </w:pPr>
          </w:p>
        </w:tc>
        <w:tc>
          <w:tcPr>
            <w:tcW w:w="1381" w:type="dxa"/>
            <w:gridSpan w:val="4"/>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联系人/电话</w:t>
            </w:r>
          </w:p>
        </w:tc>
        <w:tc>
          <w:tcPr>
            <w:tcW w:w="3263" w:type="dxa"/>
            <w:gridSpan w:val="5"/>
            <w:tcBorders>
              <w:tl2br w:val="nil"/>
              <w:tr2bl w:val="nil"/>
            </w:tcBorders>
            <w:tcMar>
              <w:top w:w="0" w:type="dxa"/>
              <w:left w:w="57" w:type="dxa"/>
              <w:bottom w:w="0" w:type="dxa"/>
              <w:right w:w="57" w:type="dxa"/>
            </w:tcMar>
            <w:vAlign w:val="center"/>
          </w:tcPr>
          <w:p>
            <w:pPr>
              <w:pStyle w:val="16"/>
              <w:rPr>
                <w:rFonts w:hint="default"/>
                <w:color w:val="auto"/>
                <w:sz w:val="18"/>
                <w:szCs w:val="18"/>
                <w:lang w:val="en-US" w:eastAsia="zh-CN"/>
              </w:rPr>
            </w:pPr>
            <w:r>
              <w:rPr>
                <w:rFonts w:hint="eastAsia"/>
                <w:color w:val="auto"/>
                <w:sz w:val="18"/>
                <w:szCs w:val="18"/>
                <w:lang w:val="en-US" w:eastAsia="zh-CN"/>
              </w:rPr>
              <w:t>戴为荣/15519904322</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90" w:hRule="atLeast"/>
          <w:jc w:val="center"/>
        </w:trPr>
        <w:tc>
          <w:tcPr>
            <w:tcW w:w="920" w:type="dxa"/>
            <w:gridSpan w:val="2"/>
            <w:vMerge w:val="continue"/>
            <w:tcBorders>
              <w:tl2br w:val="nil"/>
              <w:tr2bl w:val="nil"/>
            </w:tcBorders>
            <w:vAlign w:val="center"/>
          </w:tcPr>
          <w:p>
            <w:pPr>
              <w:pStyle w:val="16"/>
              <w:rPr>
                <w:rFonts w:hint="default"/>
                <w:color w:val="auto"/>
                <w:sz w:val="18"/>
                <w:szCs w:val="18"/>
                <w:lang w:eastAsia="zh-CN"/>
              </w:rPr>
            </w:pPr>
          </w:p>
        </w:tc>
        <w:tc>
          <w:tcPr>
            <w:tcW w:w="2857" w:type="dxa"/>
            <w:gridSpan w:val="4"/>
            <w:vMerge w:val="continue"/>
            <w:tcBorders>
              <w:tl2br w:val="nil"/>
              <w:tr2bl w:val="nil"/>
            </w:tcBorders>
            <w:vAlign w:val="center"/>
          </w:tcPr>
          <w:p>
            <w:pPr>
              <w:pStyle w:val="16"/>
              <w:rPr>
                <w:rFonts w:hint="default"/>
                <w:color w:val="auto"/>
                <w:sz w:val="18"/>
                <w:szCs w:val="18"/>
                <w:lang w:eastAsia="zh-CN"/>
              </w:rPr>
            </w:pPr>
          </w:p>
        </w:tc>
        <w:tc>
          <w:tcPr>
            <w:tcW w:w="1381" w:type="dxa"/>
            <w:gridSpan w:val="4"/>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建设地点</w:t>
            </w:r>
          </w:p>
        </w:tc>
        <w:tc>
          <w:tcPr>
            <w:tcW w:w="3263" w:type="dxa"/>
            <w:gridSpan w:val="5"/>
            <w:tcBorders>
              <w:tl2br w:val="nil"/>
              <w:tr2bl w:val="nil"/>
            </w:tcBorders>
            <w:tcMar>
              <w:top w:w="0" w:type="dxa"/>
              <w:left w:w="57" w:type="dxa"/>
              <w:bottom w:w="0" w:type="dxa"/>
              <w:right w:w="57" w:type="dxa"/>
            </w:tcMar>
            <w:vAlign w:val="center"/>
          </w:tcPr>
          <w:p>
            <w:pPr>
              <w:pStyle w:val="16"/>
              <w:rPr>
                <w:rFonts w:hint="eastAsia"/>
                <w:color w:val="auto"/>
                <w:sz w:val="18"/>
                <w:szCs w:val="18"/>
                <w:lang w:eastAsia="zh-CN"/>
              </w:rPr>
            </w:pPr>
            <w:r>
              <w:rPr>
                <w:rFonts w:hint="eastAsia"/>
                <w:color w:val="auto"/>
                <w:sz w:val="18"/>
                <w:szCs w:val="18"/>
                <w:lang w:val="en-US" w:eastAsia="zh-CN"/>
              </w:rPr>
              <w:t>普安县</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90" w:hRule="atLeast"/>
          <w:jc w:val="center"/>
        </w:trPr>
        <w:tc>
          <w:tcPr>
            <w:tcW w:w="920" w:type="dxa"/>
            <w:gridSpan w:val="2"/>
            <w:vMerge w:val="continue"/>
            <w:tcBorders>
              <w:tl2br w:val="nil"/>
              <w:tr2bl w:val="nil"/>
            </w:tcBorders>
            <w:vAlign w:val="center"/>
          </w:tcPr>
          <w:p>
            <w:pPr>
              <w:pStyle w:val="16"/>
              <w:rPr>
                <w:rFonts w:hint="default"/>
                <w:color w:val="auto"/>
                <w:sz w:val="18"/>
                <w:szCs w:val="18"/>
                <w:lang w:eastAsia="zh-CN"/>
              </w:rPr>
            </w:pPr>
          </w:p>
        </w:tc>
        <w:tc>
          <w:tcPr>
            <w:tcW w:w="2857" w:type="dxa"/>
            <w:gridSpan w:val="4"/>
            <w:vMerge w:val="continue"/>
            <w:tcBorders>
              <w:tl2br w:val="nil"/>
              <w:tr2bl w:val="nil"/>
            </w:tcBorders>
            <w:vAlign w:val="center"/>
          </w:tcPr>
          <w:p>
            <w:pPr>
              <w:pStyle w:val="16"/>
              <w:rPr>
                <w:rFonts w:hint="default"/>
                <w:color w:val="auto"/>
                <w:sz w:val="18"/>
                <w:szCs w:val="18"/>
                <w:lang w:eastAsia="zh-CN"/>
              </w:rPr>
            </w:pPr>
          </w:p>
        </w:tc>
        <w:tc>
          <w:tcPr>
            <w:tcW w:w="1381" w:type="dxa"/>
            <w:gridSpan w:val="4"/>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所在流域</w:t>
            </w:r>
          </w:p>
        </w:tc>
        <w:tc>
          <w:tcPr>
            <w:tcW w:w="3263" w:type="dxa"/>
            <w:gridSpan w:val="5"/>
            <w:tcBorders>
              <w:tl2br w:val="nil"/>
              <w:tr2bl w:val="nil"/>
            </w:tcBorders>
            <w:tcMar>
              <w:top w:w="0" w:type="dxa"/>
              <w:left w:w="57" w:type="dxa"/>
              <w:bottom w:w="0" w:type="dxa"/>
              <w:right w:w="57" w:type="dxa"/>
            </w:tcMar>
            <w:vAlign w:val="center"/>
          </w:tcPr>
          <w:p>
            <w:pPr>
              <w:pStyle w:val="16"/>
              <w:rPr>
                <w:rFonts w:hint="eastAsia"/>
                <w:color w:val="auto"/>
                <w:sz w:val="18"/>
                <w:szCs w:val="18"/>
                <w:lang w:eastAsia="zh-CN"/>
              </w:rPr>
            </w:pPr>
            <w:r>
              <w:rPr>
                <w:rFonts w:hint="eastAsia"/>
                <w:color w:val="auto"/>
                <w:sz w:val="18"/>
                <w:szCs w:val="18"/>
                <w:lang w:eastAsia="zh-CN"/>
              </w:rPr>
              <w:t>珠江流域北盘江水系</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90" w:hRule="atLeast"/>
          <w:jc w:val="center"/>
        </w:trPr>
        <w:tc>
          <w:tcPr>
            <w:tcW w:w="920" w:type="dxa"/>
            <w:gridSpan w:val="2"/>
            <w:vMerge w:val="continue"/>
            <w:tcBorders>
              <w:tl2br w:val="nil"/>
              <w:tr2bl w:val="nil"/>
            </w:tcBorders>
            <w:vAlign w:val="center"/>
          </w:tcPr>
          <w:p>
            <w:pPr>
              <w:pStyle w:val="16"/>
              <w:rPr>
                <w:rFonts w:hint="default"/>
                <w:color w:val="auto"/>
                <w:sz w:val="18"/>
                <w:szCs w:val="18"/>
                <w:lang w:eastAsia="zh-CN"/>
              </w:rPr>
            </w:pPr>
          </w:p>
        </w:tc>
        <w:tc>
          <w:tcPr>
            <w:tcW w:w="2857" w:type="dxa"/>
            <w:gridSpan w:val="4"/>
            <w:vMerge w:val="continue"/>
            <w:tcBorders>
              <w:tl2br w:val="nil"/>
              <w:tr2bl w:val="nil"/>
            </w:tcBorders>
            <w:vAlign w:val="center"/>
          </w:tcPr>
          <w:p>
            <w:pPr>
              <w:pStyle w:val="16"/>
              <w:rPr>
                <w:rFonts w:hint="default"/>
                <w:color w:val="auto"/>
                <w:sz w:val="18"/>
                <w:szCs w:val="18"/>
                <w:lang w:eastAsia="zh-CN"/>
              </w:rPr>
            </w:pPr>
          </w:p>
        </w:tc>
        <w:tc>
          <w:tcPr>
            <w:tcW w:w="1381" w:type="dxa"/>
            <w:gridSpan w:val="4"/>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工程总投资</w:t>
            </w:r>
          </w:p>
        </w:tc>
        <w:tc>
          <w:tcPr>
            <w:tcW w:w="3263" w:type="dxa"/>
            <w:gridSpan w:val="5"/>
            <w:tcBorders>
              <w:tl2br w:val="nil"/>
              <w:tr2bl w:val="nil"/>
            </w:tcBorders>
            <w:tcMar>
              <w:top w:w="0" w:type="dxa"/>
              <w:left w:w="57" w:type="dxa"/>
              <w:bottom w:w="0" w:type="dxa"/>
              <w:right w:w="57" w:type="dxa"/>
            </w:tcMar>
            <w:vAlign w:val="center"/>
          </w:tcPr>
          <w:p>
            <w:pPr>
              <w:pStyle w:val="16"/>
              <w:rPr>
                <w:rFonts w:hint="eastAsia"/>
                <w:color w:val="auto"/>
                <w:sz w:val="18"/>
                <w:szCs w:val="18"/>
                <w:lang w:val="en-US" w:eastAsia="zh-CN"/>
              </w:rPr>
            </w:pPr>
            <w:r>
              <w:rPr>
                <w:rFonts w:hint="eastAsia"/>
                <w:color w:val="auto"/>
                <w:sz w:val="18"/>
                <w:szCs w:val="18"/>
                <w:lang w:val="en-US" w:eastAsia="zh-CN"/>
              </w:rPr>
              <w:t>4008.34万元</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90" w:hRule="atLeast"/>
          <w:jc w:val="center"/>
        </w:trPr>
        <w:tc>
          <w:tcPr>
            <w:tcW w:w="920" w:type="dxa"/>
            <w:gridSpan w:val="2"/>
            <w:vMerge w:val="continue"/>
            <w:tcBorders>
              <w:tl2br w:val="nil"/>
              <w:tr2bl w:val="nil"/>
            </w:tcBorders>
            <w:vAlign w:val="center"/>
          </w:tcPr>
          <w:p>
            <w:pPr>
              <w:pStyle w:val="16"/>
              <w:rPr>
                <w:rFonts w:hint="default"/>
                <w:color w:val="auto"/>
                <w:sz w:val="18"/>
                <w:szCs w:val="18"/>
                <w:lang w:eastAsia="zh-CN"/>
              </w:rPr>
            </w:pPr>
          </w:p>
        </w:tc>
        <w:tc>
          <w:tcPr>
            <w:tcW w:w="2857" w:type="dxa"/>
            <w:gridSpan w:val="4"/>
            <w:vMerge w:val="continue"/>
            <w:tcBorders>
              <w:tl2br w:val="nil"/>
              <w:tr2bl w:val="nil"/>
            </w:tcBorders>
            <w:vAlign w:val="center"/>
          </w:tcPr>
          <w:p>
            <w:pPr>
              <w:pStyle w:val="16"/>
              <w:rPr>
                <w:rFonts w:hint="default"/>
                <w:color w:val="auto"/>
                <w:sz w:val="18"/>
                <w:szCs w:val="18"/>
                <w:lang w:eastAsia="zh-CN"/>
              </w:rPr>
            </w:pPr>
          </w:p>
        </w:tc>
        <w:tc>
          <w:tcPr>
            <w:tcW w:w="1381" w:type="dxa"/>
            <w:gridSpan w:val="4"/>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工程总工期</w:t>
            </w:r>
          </w:p>
        </w:tc>
        <w:tc>
          <w:tcPr>
            <w:tcW w:w="3263" w:type="dxa"/>
            <w:gridSpan w:val="5"/>
            <w:tcBorders>
              <w:tl2br w:val="nil"/>
              <w:tr2bl w:val="nil"/>
            </w:tcBorders>
            <w:tcMar>
              <w:top w:w="0" w:type="dxa"/>
              <w:left w:w="57" w:type="dxa"/>
              <w:bottom w:w="0" w:type="dxa"/>
              <w:right w:w="57" w:type="dxa"/>
            </w:tcMar>
            <w:vAlign w:val="center"/>
          </w:tcPr>
          <w:p>
            <w:pPr>
              <w:pStyle w:val="16"/>
              <w:rPr>
                <w:rFonts w:hint="eastAsia"/>
                <w:color w:val="auto"/>
                <w:sz w:val="18"/>
                <w:szCs w:val="18"/>
                <w:lang w:val="en-US" w:eastAsia="zh-CN"/>
              </w:rPr>
            </w:pPr>
            <w:r>
              <w:rPr>
                <w:rFonts w:hint="eastAsia"/>
                <w:color w:val="auto"/>
                <w:sz w:val="18"/>
                <w:szCs w:val="18"/>
                <w:lang w:val="en-US" w:eastAsia="zh-CN"/>
              </w:rPr>
              <w:t>2014年1月~2016年10月</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340" w:hRule="atLeast"/>
          <w:jc w:val="center"/>
        </w:trPr>
        <w:tc>
          <w:tcPr>
            <w:tcW w:w="8421" w:type="dxa"/>
            <w:gridSpan w:val="15"/>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水土保持监测指标</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173" w:hRule="atLeast"/>
          <w:jc w:val="center"/>
        </w:trPr>
        <w:tc>
          <w:tcPr>
            <w:tcW w:w="2712" w:type="dxa"/>
            <w:gridSpan w:val="4"/>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监测单位</w:t>
            </w:r>
          </w:p>
        </w:tc>
        <w:tc>
          <w:tcPr>
            <w:tcW w:w="2446" w:type="dxa"/>
            <w:gridSpan w:val="6"/>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eastAsia"/>
                <w:color w:val="auto"/>
                <w:sz w:val="18"/>
                <w:szCs w:val="18"/>
                <w:lang w:eastAsia="zh-CN"/>
              </w:rPr>
              <w:t>贵州天保生态股份有限公司</w:t>
            </w:r>
          </w:p>
        </w:tc>
        <w:tc>
          <w:tcPr>
            <w:tcW w:w="1471" w:type="dxa"/>
            <w:gridSpan w:val="2"/>
            <w:tcBorders>
              <w:tl2br w:val="nil"/>
              <w:tr2bl w:val="nil"/>
            </w:tcBorders>
            <w:tcMar>
              <w:top w:w="0" w:type="dxa"/>
              <w:left w:w="57" w:type="dxa"/>
              <w:bottom w:w="0" w:type="dxa"/>
              <w:right w:w="57" w:type="dxa"/>
            </w:tcMar>
            <w:vAlign w:val="center"/>
          </w:tcPr>
          <w:p>
            <w:pPr>
              <w:pStyle w:val="16"/>
              <w:rPr>
                <w:rFonts w:hint="default"/>
                <w:color w:val="auto"/>
                <w:sz w:val="18"/>
                <w:szCs w:val="18"/>
                <w:lang w:val="en-US" w:eastAsia="zh-CN"/>
              </w:rPr>
            </w:pPr>
            <w:r>
              <w:rPr>
                <w:rFonts w:hint="default"/>
                <w:color w:val="auto"/>
                <w:sz w:val="18"/>
                <w:szCs w:val="18"/>
                <w:lang w:val="en-US" w:eastAsia="zh-CN"/>
              </w:rPr>
              <w:t>联系人及电话</w:t>
            </w:r>
          </w:p>
        </w:tc>
        <w:tc>
          <w:tcPr>
            <w:tcW w:w="1792" w:type="dxa"/>
            <w:gridSpan w:val="3"/>
            <w:tcBorders>
              <w:tl2br w:val="nil"/>
              <w:tr2bl w:val="nil"/>
            </w:tcBorders>
            <w:tcMar>
              <w:top w:w="0" w:type="dxa"/>
              <w:left w:w="57" w:type="dxa"/>
              <w:bottom w:w="0" w:type="dxa"/>
              <w:right w:w="57" w:type="dxa"/>
            </w:tcMar>
            <w:vAlign w:val="center"/>
          </w:tcPr>
          <w:p>
            <w:pPr>
              <w:pStyle w:val="16"/>
              <w:rPr>
                <w:rFonts w:hint="default"/>
                <w:color w:val="auto"/>
                <w:sz w:val="18"/>
                <w:szCs w:val="18"/>
                <w:lang w:val="en-US" w:eastAsia="zh-CN"/>
              </w:rPr>
            </w:pPr>
            <w:r>
              <w:rPr>
                <w:rFonts w:hint="eastAsia"/>
                <w:color w:val="auto"/>
                <w:sz w:val="18"/>
                <w:szCs w:val="18"/>
                <w:lang w:val="en-US" w:eastAsia="zh-CN"/>
              </w:rPr>
              <w:t>朱波/13765124637</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244" w:hRule="atLeast"/>
          <w:jc w:val="center"/>
        </w:trPr>
        <w:tc>
          <w:tcPr>
            <w:tcW w:w="2712" w:type="dxa"/>
            <w:gridSpan w:val="4"/>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自然地理类型</w:t>
            </w:r>
          </w:p>
        </w:tc>
        <w:tc>
          <w:tcPr>
            <w:tcW w:w="2446" w:type="dxa"/>
            <w:gridSpan w:val="6"/>
            <w:tcBorders>
              <w:tl2br w:val="nil"/>
              <w:tr2bl w:val="nil"/>
            </w:tcBorders>
            <w:tcMar>
              <w:top w:w="0" w:type="dxa"/>
              <w:left w:w="57" w:type="dxa"/>
              <w:bottom w:w="0" w:type="dxa"/>
              <w:right w:w="57" w:type="dxa"/>
            </w:tcMar>
            <w:vAlign w:val="center"/>
          </w:tcPr>
          <w:p>
            <w:pPr>
              <w:pStyle w:val="16"/>
              <w:rPr>
                <w:rFonts w:hint="eastAsia"/>
                <w:color w:val="auto"/>
                <w:sz w:val="18"/>
                <w:szCs w:val="18"/>
                <w:lang w:eastAsia="zh-CN"/>
              </w:rPr>
            </w:pPr>
            <w:r>
              <w:rPr>
                <w:rFonts w:hint="eastAsia"/>
                <w:color w:val="auto"/>
                <w:sz w:val="18"/>
                <w:szCs w:val="18"/>
                <w:lang w:val="en-US" w:eastAsia="zh-CN"/>
              </w:rPr>
              <w:t>低中山地貌</w:t>
            </w:r>
          </w:p>
        </w:tc>
        <w:tc>
          <w:tcPr>
            <w:tcW w:w="1471" w:type="dxa"/>
            <w:gridSpan w:val="2"/>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防治标准</w:t>
            </w:r>
          </w:p>
        </w:tc>
        <w:tc>
          <w:tcPr>
            <w:tcW w:w="1792" w:type="dxa"/>
            <w:gridSpan w:val="3"/>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一级</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192" w:hRule="atLeast"/>
          <w:jc w:val="center"/>
        </w:trPr>
        <w:tc>
          <w:tcPr>
            <w:tcW w:w="460" w:type="dxa"/>
            <w:vMerge w:val="restart"/>
            <w:tcBorders>
              <w:tl2br w:val="nil"/>
              <w:tr2bl w:val="nil"/>
            </w:tcBorders>
            <w:vAlign w:val="center"/>
          </w:tcPr>
          <w:p>
            <w:pPr>
              <w:pStyle w:val="16"/>
              <w:rPr>
                <w:rFonts w:hint="default"/>
                <w:color w:val="auto"/>
                <w:sz w:val="18"/>
                <w:szCs w:val="18"/>
                <w:lang w:eastAsia="zh-CN"/>
              </w:rPr>
            </w:pPr>
            <w:r>
              <w:rPr>
                <w:rFonts w:hint="default"/>
                <w:color w:val="auto"/>
                <w:sz w:val="18"/>
                <w:szCs w:val="18"/>
                <w:lang w:eastAsia="zh-CN"/>
              </w:rPr>
              <w:t>监测内容</w:t>
            </w:r>
          </w:p>
        </w:tc>
        <w:tc>
          <w:tcPr>
            <w:tcW w:w="2252" w:type="dxa"/>
            <w:gridSpan w:val="3"/>
            <w:tcBorders>
              <w:tl2br w:val="nil"/>
              <w:tr2bl w:val="nil"/>
            </w:tcBorders>
            <w:vAlign w:val="center"/>
          </w:tcPr>
          <w:p>
            <w:pPr>
              <w:pStyle w:val="16"/>
              <w:rPr>
                <w:rFonts w:hint="default"/>
                <w:color w:val="auto"/>
                <w:sz w:val="18"/>
                <w:szCs w:val="18"/>
                <w:lang w:eastAsia="zh-CN"/>
              </w:rPr>
            </w:pPr>
            <w:r>
              <w:rPr>
                <w:rFonts w:hint="default"/>
                <w:color w:val="auto"/>
                <w:sz w:val="18"/>
                <w:szCs w:val="18"/>
                <w:lang w:eastAsia="zh-CN"/>
              </w:rPr>
              <w:t>监测指标</w:t>
            </w:r>
          </w:p>
        </w:tc>
        <w:tc>
          <w:tcPr>
            <w:tcW w:w="1442" w:type="dxa"/>
            <w:gridSpan w:val="3"/>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监测方法（设施）</w:t>
            </w:r>
          </w:p>
        </w:tc>
        <w:tc>
          <w:tcPr>
            <w:tcW w:w="2475" w:type="dxa"/>
            <w:gridSpan w:val="5"/>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监测指标</w:t>
            </w:r>
          </w:p>
        </w:tc>
        <w:tc>
          <w:tcPr>
            <w:tcW w:w="1792" w:type="dxa"/>
            <w:gridSpan w:val="3"/>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监测方法</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406" w:hRule="atLeast"/>
          <w:jc w:val="center"/>
        </w:trPr>
        <w:tc>
          <w:tcPr>
            <w:tcW w:w="460" w:type="dxa"/>
            <w:vMerge w:val="continue"/>
            <w:tcBorders>
              <w:tl2br w:val="nil"/>
              <w:tr2bl w:val="nil"/>
            </w:tcBorders>
            <w:vAlign w:val="center"/>
          </w:tcPr>
          <w:p>
            <w:pPr>
              <w:pStyle w:val="16"/>
              <w:rPr>
                <w:rFonts w:hint="default"/>
                <w:color w:val="auto"/>
                <w:sz w:val="18"/>
                <w:szCs w:val="18"/>
                <w:lang w:eastAsia="zh-CN"/>
              </w:rPr>
            </w:pPr>
          </w:p>
        </w:tc>
        <w:tc>
          <w:tcPr>
            <w:tcW w:w="2252" w:type="dxa"/>
            <w:gridSpan w:val="3"/>
            <w:tcBorders>
              <w:tl2br w:val="nil"/>
              <w:tr2bl w:val="nil"/>
            </w:tcBorders>
            <w:vAlign w:val="center"/>
          </w:tcPr>
          <w:p>
            <w:pPr>
              <w:pStyle w:val="16"/>
              <w:rPr>
                <w:rFonts w:hint="default"/>
                <w:color w:val="auto"/>
                <w:sz w:val="18"/>
                <w:szCs w:val="18"/>
                <w:lang w:eastAsia="zh-CN"/>
              </w:rPr>
            </w:pPr>
            <w:r>
              <w:rPr>
                <w:rFonts w:hint="default"/>
                <w:color w:val="auto"/>
                <w:sz w:val="18"/>
                <w:szCs w:val="18"/>
                <w:lang w:eastAsia="zh-CN"/>
              </w:rPr>
              <w:t>1、水土流失状况监测</w:t>
            </w:r>
          </w:p>
        </w:tc>
        <w:tc>
          <w:tcPr>
            <w:tcW w:w="1442" w:type="dxa"/>
            <w:gridSpan w:val="3"/>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调查、巡查监测</w:t>
            </w:r>
          </w:p>
        </w:tc>
        <w:tc>
          <w:tcPr>
            <w:tcW w:w="2475" w:type="dxa"/>
            <w:gridSpan w:val="5"/>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2、防治责任范围监测</w:t>
            </w:r>
          </w:p>
        </w:tc>
        <w:tc>
          <w:tcPr>
            <w:tcW w:w="1792" w:type="dxa"/>
            <w:gridSpan w:val="3"/>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调查监测</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328" w:hRule="atLeast"/>
          <w:jc w:val="center"/>
        </w:trPr>
        <w:tc>
          <w:tcPr>
            <w:tcW w:w="460" w:type="dxa"/>
            <w:vMerge w:val="continue"/>
            <w:tcBorders>
              <w:tl2br w:val="nil"/>
              <w:tr2bl w:val="nil"/>
            </w:tcBorders>
            <w:vAlign w:val="center"/>
          </w:tcPr>
          <w:p>
            <w:pPr>
              <w:pStyle w:val="16"/>
              <w:rPr>
                <w:rFonts w:hint="default"/>
                <w:color w:val="auto"/>
                <w:sz w:val="18"/>
                <w:szCs w:val="18"/>
                <w:lang w:eastAsia="zh-CN"/>
              </w:rPr>
            </w:pPr>
          </w:p>
        </w:tc>
        <w:tc>
          <w:tcPr>
            <w:tcW w:w="2252" w:type="dxa"/>
            <w:gridSpan w:val="3"/>
            <w:tcBorders>
              <w:tl2br w:val="nil"/>
              <w:tr2bl w:val="nil"/>
            </w:tcBorders>
            <w:vAlign w:val="center"/>
          </w:tcPr>
          <w:p>
            <w:pPr>
              <w:pStyle w:val="16"/>
              <w:rPr>
                <w:rFonts w:hint="default"/>
                <w:color w:val="auto"/>
                <w:sz w:val="18"/>
                <w:szCs w:val="18"/>
                <w:lang w:eastAsia="zh-CN"/>
              </w:rPr>
            </w:pPr>
            <w:r>
              <w:rPr>
                <w:rFonts w:hint="default"/>
                <w:color w:val="auto"/>
                <w:sz w:val="18"/>
                <w:szCs w:val="18"/>
                <w:lang w:eastAsia="zh-CN"/>
              </w:rPr>
              <w:t>3、水土保持措施情况监测</w:t>
            </w:r>
          </w:p>
        </w:tc>
        <w:tc>
          <w:tcPr>
            <w:tcW w:w="1442" w:type="dxa"/>
            <w:gridSpan w:val="3"/>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调查、巡查监测</w:t>
            </w:r>
          </w:p>
        </w:tc>
        <w:tc>
          <w:tcPr>
            <w:tcW w:w="2475" w:type="dxa"/>
            <w:gridSpan w:val="5"/>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4、防治措施效果监测</w:t>
            </w:r>
          </w:p>
        </w:tc>
        <w:tc>
          <w:tcPr>
            <w:tcW w:w="1792" w:type="dxa"/>
            <w:gridSpan w:val="3"/>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调查、巡查监测</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264" w:hRule="atLeast"/>
          <w:jc w:val="center"/>
        </w:trPr>
        <w:tc>
          <w:tcPr>
            <w:tcW w:w="460" w:type="dxa"/>
            <w:vMerge w:val="continue"/>
            <w:tcBorders>
              <w:tl2br w:val="nil"/>
              <w:tr2bl w:val="nil"/>
            </w:tcBorders>
            <w:vAlign w:val="center"/>
          </w:tcPr>
          <w:p>
            <w:pPr>
              <w:pStyle w:val="16"/>
              <w:rPr>
                <w:rFonts w:hint="default"/>
                <w:color w:val="auto"/>
                <w:sz w:val="18"/>
                <w:szCs w:val="18"/>
                <w:lang w:eastAsia="zh-CN"/>
              </w:rPr>
            </w:pPr>
          </w:p>
        </w:tc>
        <w:tc>
          <w:tcPr>
            <w:tcW w:w="2252" w:type="dxa"/>
            <w:gridSpan w:val="3"/>
            <w:tcBorders>
              <w:tl2br w:val="nil"/>
              <w:tr2bl w:val="nil"/>
            </w:tcBorders>
            <w:vAlign w:val="center"/>
          </w:tcPr>
          <w:p>
            <w:pPr>
              <w:pStyle w:val="16"/>
              <w:rPr>
                <w:rFonts w:hint="default"/>
                <w:color w:val="auto"/>
                <w:sz w:val="18"/>
                <w:szCs w:val="18"/>
                <w:lang w:eastAsia="zh-CN"/>
              </w:rPr>
            </w:pPr>
            <w:r>
              <w:rPr>
                <w:rFonts w:hint="default"/>
                <w:color w:val="auto"/>
                <w:sz w:val="18"/>
                <w:szCs w:val="18"/>
                <w:lang w:eastAsia="zh-CN"/>
              </w:rPr>
              <w:t>5、水土流失危害监测</w:t>
            </w:r>
          </w:p>
        </w:tc>
        <w:tc>
          <w:tcPr>
            <w:tcW w:w="1442" w:type="dxa"/>
            <w:gridSpan w:val="3"/>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现场巡查监测</w:t>
            </w:r>
          </w:p>
        </w:tc>
        <w:tc>
          <w:tcPr>
            <w:tcW w:w="2475" w:type="dxa"/>
            <w:gridSpan w:val="5"/>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水土流失背景值</w:t>
            </w:r>
          </w:p>
        </w:tc>
        <w:tc>
          <w:tcPr>
            <w:tcW w:w="1792" w:type="dxa"/>
            <w:gridSpan w:val="3"/>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eastAsia"/>
                <w:color w:val="auto"/>
                <w:sz w:val="18"/>
                <w:szCs w:val="18"/>
                <w:lang w:val="en-US" w:eastAsia="zh-CN"/>
              </w:rPr>
              <w:t>844</w:t>
            </w:r>
            <w:r>
              <w:rPr>
                <w:rFonts w:hint="default"/>
                <w:color w:val="auto"/>
                <w:sz w:val="18"/>
                <w:szCs w:val="18"/>
                <w:lang w:eastAsia="zh-CN"/>
              </w:rPr>
              <w:t>t/k</w:t>
            </w:r>
            <w:r>
              <w:rPr>
                <w:rFonts w:hint="eastAsia"/>
                <w:color w:val="auto"/>
                <w:sz w:val="18"/>
                <w:szCs w:val="18"/>
                <w:lang w:eastAsia="zh-CN"/>
              </w:rPr>
              <w:t>m</w:t>
            </w:r>
            <w:r>
              <w:rPr>
                <w:rFonts w:hint="eastAsia"/>
                <w:color w:val="auto"/>
                <w:sz w:val="18"/>
                <w:szCs w:val="18"/>
                <w:vertAlign w:val="superscript"/>
                <w:lang w:val="en-US" w:eastAsia="zh-CN"/>
              </w:rPr>
              <w:t>2</w:t>
            </w:r>
            <w:r>
              <w:rPr>
                <w:rFonts w:hint="default"/>
                <w:color w:val="auto"/>
                <w:sz w:val="18"/>
                <w:szCs w:val="18"/>
                <w:lang w:eastAsia="zh-CN"/>
              </w:rPr>
              <w:t>·a</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201" w:hRule="atLeast"/>
          <w:jc w:val="center"/>
        </w:trPr>
        <w:tc>
          <w:tcPr>
            <w:tcW w:w="2712" w:type="dxa"/>
            <w:gridSpan w:val="4"/>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方案设计防治责任范围</w:t>
            </w:r>
          </w:p>
        </w:tc>
        <w:tc>
          <w:tcPr>
            <w:tcW w:w="1442" w:type="dxa"/>
            <w:gridSpan w:val="3"/>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eastAsia"/>
                <w:color w:val="auto"/>
                <w:sz w:val="18"/>
                <w:szCs w:val="18"/>
                <w:lang w:val="en-US" w:eastAsia="zh-CN"/>
              </w:rPr>
              <w:t>13.75</w:t>
            </w:r>
            <w:r>
              <w:rPr>
                <w:rFonts w:hint="default"/>
                <w:color w:val="auto"/>
                <w:sz w:val="18"/>
                <w:szCs w:val="18"/>
                <w:lang w:eastAsia="zh-CN"/>
              </w:rPr>
              <w:t>hm</w:t>
            </w:r>
            <w:r>
              <w:rPr>
                <w:rFonts w:hint="eastAsia"/>
                <w:color w:val="auto"/>
                <w:sz w:val="18"/>
                <w:szCs w:val="18"/>
                <w:vertAlign w:val="superscript"/>
                <w:lang w:val="en-US" w:eastAsia="zh-CN"/>
              </w:rPr>
              <w:t>2</w:t>
            </w:r>
          </w:p>
        </w:tc>
        <w:tc>
          <w:tcPr>
            <w:tcW w:w="2475" w:type="dxa"/>
            <w:gridSpan w:val="5"/>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土壤容许流失量</w:t>
            </w:r>
          </w:p>
        </w:tc>
        <w:tc>
          <w:tcPr>
            <w:tcW w:w="1792" w:type="dxa"/>
            <w:gridSpan w:val="3"/>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500 t/k</w:t>
            </w:r>
            <w:r>
              <w:rPr>
                <w:rFonts w:hint="eastAsia"/>
                <w:color w:val="auto"/>
                <w:sz w:val="18"/>
                <w:szCs w:val="18"/>
                <w:lang w:eastAsia="zh-CN"/>
              </w:rPr>
              <w:t>m</w:t>
            </w:r>
            <w:r>
              <w:rPr>
                <w:rFonts w:hint="eastAsia"/>
                <w:color w:val="auto"/>
                <w:sz w:val="18"/>
                <w:szCs w:val="18"/>
                <w:vertAlign w:val="superscript"/>
                <w:lang w:val="en-US" w:eastAsia="zh-CN"/>
              </w:rPr>
              <w:t>2</w:t>
            </w:r>
            <w:r>
              <w:rPr>
                <w:rFonts w:hint="default"/>
                <w:color w:val="auto"/>
                <w:sz w:val="18"/>
                <w:szCs w:val="18"/>
                <w:lang w:eastAsia="zh-CN"/>
              </w:rPr>
              <w:t>·a</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90" w:hRule="atLeast"/>
          <w:jc w:val="center"/>
        </w:trPr>
        <w:tc>
          <w:tcPr>
            <w:tcW w:w="460" w:type="dxa"/>
            <w:tcBorders>
              <w:tl2br w:val="nil"/>
              <w:tr2bl w:val="nil"/>
            </w:tcBorders>
            <w:tcMar>
              <w:top w:w="0" w:type="dxa"/>
              <w:left w:w="57" w:type="dxa"/>
              <w:bottom w:w="0" w:type="dxa"/>
              <w:right w:w="57" w:type="dxa"/>
            </w:tcMar>
            <w:vAlign w:val="center"/>
          </w:tcPr>
          <w:p>
            <w:pPr>
              <w:pStyle w:val="16"/>
              <w:rPr>
                <w:rFonts w:hint="default"/>
                <w:color w:val="auto"/>
                <w:sz w:val="18"/>
                <w:szCs w:val="18"/>
              </w:rPr>
            </w:pPr>
            <w:r>
              <w:rPr>
                <w:rFonts w:hint="default"/>
                <w:color w:val="auto"/>
                <w:sz w:val="18"/>
                <w:szCs w:val="18"/>
              </w:rPr>
              <w:t>防治措施</w:t>
            </w:r>
          </w:p>
        </w:tc>
        <w:tc>
          <w:tcPr>
            <w:tcW w:w="7961" w:type="dxa"/>
            <w:gridSpan w:val="14"/>
            <w:tcBorders>
              <w:tl2br w:val="nil"/>
              <w:tr2bl w:val="nil"/>
            </w:tcBorders>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color w:val="auto"/>
                <w:sz w:val="18"/>
                <w:szCs w:val="18"/>
              </w:rPr>
            </w:pPr>
            <w:r>
              <w:rPr>
                <w:rFonts w:hint="eastAsia"/>
                <w:color w:val="auto"/>
                <w:sz w:val="18"/>
                <w:szCs w:val="18"/>
              </w:rPr>
              <w:t>工程措施：主体已实施共计道路边沟</w:t>
            </w:r>
            <w:r>
              <w:rPr>
                <w:color w:val="auto"/>
                <w:sz w:val="18"/>
                <w:szCs w:val="18"/>
              </w:rPr>
              <w:t>3260m</w:t>
            </w:r>
            <w:r>
              <w:rPr>
                <w:rFonts w:hint="eastAsia"/>
                <w:color w:val="auto"/>
                <w:sz w:val="18"/>
                <w:szCs w:val="18"/>
              </w:rPr>
              <w:t>，骨架</w:t>
            </w:r>
            <w:r>
              <w:rPr>
                <w:color w:val="auto"/>
                <w:sz w:val="18"/>
                <w:szCs w:val="18"/>
              </w:rPr>
              <w:t>护坡</w:t>
            </w:r>
            <w:r>
              <w:rPr>
                <w:rFonts w:hint="eastAsia"/>
                <w:color w:val="auto"/>
                <w:sz w:val="18"/>
                <w:szCs w:val="18"/>
              </w:rPr>
              <w:t>0.65</w:t>
            </w:r>
            <w:r>
              <w:rPr>
                <w:color w:val="auto"/>
                <w:sz w:val="18"/>
                <w:szCs w:val="18"/>
              </w:rPr>
              <w:t>hm</w:t>
            </w:r>
            <w:r>
              <w:rPr>
                <w:color w:val="auto"/>
                <w:sz w:val="18"/>
                <w:szCs w:val="18"/>
                <w:vertAlign w:val="superscript"/>
              </w:rPr>
              <w:t>2</w:t>
            </w:r>
            <w:r>
              <w:rPr>
                <w:color w:val="auto"/>
                <w:sz w:val="18"/>
                <w:szCs w:val="18"/>
              </w:rPr>
              <w:t>，</w:t>
            </w:r>
            <w:r>
              <w:rPr>
                <w:rFonts w:hint="eastAsia"/>
                <w:color w:val="auto"/>
                <w:sz w:val="18"/>
                <w:szCs w:val="18"/>
              </w:rPr>
              <w:t>沉砂池</w:t>
            </w:r>
            <w:r>
              <w:rPr>
                <w:color w:val="auto"/>
                <w:sz w:val="18"/>
                <w:szCs w:val="18"/>
              </w:rPr>
              <w:t>2</w:t>
            </w:r>
            <w:r>
              <w:rPr>
                <w:rFonts w:hint="eastAsia"/>
                <w:color w:val="auto"/>
                <w:sz w:val="18"/>
                <w:szCs w:val="18"/>
              </w:rPr>
              <w:t>口</w:t>
            </w:r>
            <w:r>
              <w:rPr>
                <w:color w:val="auto"/>
                <w:sz w:val="18"/>
                <w:szCs w:val="18"/>
              </w:rPr>
              <w:t>，</w:t>
            </w:r>
            <w:r>
              <w:rPr>
                <w:rFonts w:hint="eastAsia"/>
                <w:color w:val="auto"/>
                <w:sz w:val="18"/>
                <w:szCs w:val="18"/>
              </w:rPr>
              <w:t>植物槽300</w:t>
            </w:r>
            <w:r>
              <w:rPr>
                <w:color w:val="auto"/>
                <w:sz w:val="18"/>
                <w:szCs w:val="18"/>
              </w:rPr>
              <w:t>m，</w:t>
            </w:r>
            <w:r>
              <w:rPr>
                <w:rFonts w:hint="eastAsia"/>
                <w:color w:val="auto"/>
                <w:sz w:val="18"/>
                <w:szCs w:val="18"/>
              </w:rPr>
              <w:t>雨水管1250</w:t>
            </w:r>
            <w:r>
              <w:rPr>
                <w:color w:val="auto"/>
                <w:sz w:val="18"/>
                <w:szCs w:val="18"/>
              </w:rPr>
              <w:t>m，</w:t>
            </w:r>
            <w:r>
              <w:rPr>
                <w:rFonts w:hint="eastAsia"/>
                <w:color w:val="auto"/>
                <w:sz w:val="18"/>
                <w:szCs w:val="18"/>
              </w:rPr>
              <w:t>雨水井</w:t>
            </w:r>
            <w:r>
              <w:rPr>
                <w:color w:val="auto"/>
                <w:sz w:val="18"/>
                <w:szCs w:val="18"/>
              </w:rPr>
              <w:t>3</w:t>
            </w:r>
            <w:r>
              <w:rPr>
                <w:rFonts w:hint="eastAsia"/>
                <w:color w:val="auto"/>
                <w:sz w:val="18"/>
                <w:szCs w:val="18"/>
              </w:rPr>
              <w:t>口</w:t>
            </w:r>
            <w:r>
              <w:rPr>
                <w:color w:val="auto"/>
                <w:sz w:val="18"/>
                <w:szCs w:val="18"/>
              </w:rPr>
              <w:t>，</w:t>
            </w:r>
            <w:r>
              <w:rPr>
                <w:rFonts w:hint="eastAsia"/>
                <w:color w:val="auto"/>
                <w:sz w:val="18"/>
                <w:szCs w:val="18"/>
              </w:rPr>
              <w:t>表土</w:t>
            </w:r>
            <w:r>
              <w:rPr>
                <w:color w:val="auto"/>
                <w:sz w:val="18"/>
                <w:szCs w:val="18"/>
              </w:rPr>
              <w:t>剥离</w:t>
            </w:r>
            <w:r>
              <w:rPr>
                <w:rFonts w:hint="eastAsia"/>
                <w:color w:val="auto"/>
                <w:sz w:val="18"/>
                <w:szCs w:val="18"/>
              </w:rPr>
              <w:t>12310</w:t>
            </w:r>
            <w:r>
              <w:rPr>
                <w:color w:val="auto"/>
                <w:sz w:val="18"/>
                <w:szCs w:val="18"/>
              </w:rPr>
              <w:t>m</w:t>
            </w:r>
            <w:r>
              <w:rPr>
                <w:color w:val="auto"/>
                <w:sz w:val="18"/>
                <w:szCs w:val="18"/>
                <w:vertAlign w:val="superscript"/>
              </w:rPr>
              <w:t>3</w:t>
            </w:r>
            <w:r>
              <w:rPr>
                <w:rFonts w:hint="eastAsia"/>
                <w:color w:val="auto"/>
                <w:sz w:val="18"/>
                <w:szCs w:val="18"/>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color w:val="auto"/>
                <w:sz w:val="18"/>
                <w:szCs w:val="18"/>
              </w:rPr>
            </w:pPr>
            <w:r>
              <w:rPr>
                <w:rFonts w:hint="eastAsia"/>
                <w:color w:val="auto"/>
                <w:sz w:val="18"/>
                <w:szCs w:val="18"/>
              </w:rPr>
              <w:t>植物措施：行道树517株</w:t>
            </w:r>
            <w:r>
              <w:rPr>
                <w:color w:val="auto"/>
                <w:sz w:val="18"/>
                <w:szCs w:val="18"/>
              </w:rPr>
              <w:t>，</w:t>
            </w:r>
            <w:r>
              <w:rPr>
                <w:rFonts w:hint="eastAsia"/>
                <w:color w:val="auto"/>
                <w:sz w:val="18"/>
                <w:szCs w:val="18"/>
              </w:rPr>
              <w:t>边坡</w:t>
            </w:r>
            <w:r>
              <w:rPr>
                <w:color w:val="auto"/>
                <w:sz w:val="18"/>
                <w:szCs w:val="18"/>
              </w:rPr>
              <w:t>植草</w:t>
            </w:r>
            <w:r>
              <w:rPr>
                <w:rFonts w:hint="eastAsia"/>
                <w:color w:val="auto"/>
                <w:sz w:val="18"/>
                <w:szCs w:val="18"/>
              </w:rPr>
              <w:t>0.35</w:t>
            </w:r>
            <w:r>
              <w:rPr>
                <w:color w:val="auto"/>
                <w:sz w:val="18"/>
                <w:szCs w:val="18"/>
              </w:rPr>
              <w:t>hm2，</w:t>
            </w:r>
            <w:r>
              <w:rPr>
                <w:rFonts w:hint="eastAsia"/>
                <w:color w:val="auto"/>
                <w:sz w:val="18"/>
                <w:szCs w:val="18"/>
              </w:rPr>
              <w:t>种植</w:t>
            </w:r>
            <w:r>
              <w:rPr>
                <w:color w:val="auto"/>
                <w:sz w:val="18"/>
                <w:szCs w:val="18"/>
              </w:rPr>
              <w:t>小金竹</w:t>
            </w:r>
            <w:r>
              <w:rPr>
                <w:rFonts w:hint="eastAsia"/>
                <w:color w:val="auto"/>
                <w:sz w:val="18"/>
                <w:szCs w:val="18"/>
              </w:rPr>
              <w:t>113株</w:t>
            </w:r>
            <w:r>
              <w:rPr>
                <w:color w:val="auto"/>
                <w:sz w:val="18"/>
                <w:szCs w:val="18"/>
              </w:rPr>
              <w:t>，</w:t>
            </w:r>
            <w:r>
              <w:rPr>
                <w:rFonts w:hint="eastAsia"/>
                <w:color w:val="auto"/>
                <w:sz w:val="18"/>
                <w:szCs w:val="18"/>
              </w:rPr>
              <w:t>种植</w:t>
            </w:r>
            <w:r>
              <w:rPr>
                <w:color w:val="auto"/>
                <w:sz w:val="18"/>
                <w:szCs w:val="18"/>
              </w:rPr>
              <w:t>灌木</w:t>
            </w:r>
            <w:r>
              <w:rPr>
                <w:rFonts w:hint="eastAsia"/>
                <w:color w:val="auto"/>
                <w:sz w:val="18"/>
                <w:szCs w:val="18"/>
              </w:rPr>
              <w:t>432株</w:t>
            </w:r>
            <w:r>
              <w:rPr>
                <w:color w:val="auto"/>
                <w:sz w:val="18"/>
                <w:szCs w:val="18"/>
              </w:rPr>
              <w:t>，</w:t>
            </w:r>
            <w:r>
              <w:rPr>
                <w:rFonts w:hint="eastAsia"/>
                <w:color w:val="auto"/>
                <w:sz w:val="18"/>
                <w:szCs w:val="18"/>
              </w:rPr>
              <w:t>种植</w:t>
            </w:r>
            <w:r>
              <w:rPr>
                <w:color w:val="auto"/>
                <w:sz w:val="18"/>
                <w:szCs w:val="18"/>
              </w:rPr>
              <w:t>油麻藤</w:t>
            </w:r>
            <w:r>
              <w:rPr>
                <w:rFonts w:hint="eastAsia"/>
                <w:color w:val="auto"/>
                <w:sz w:val="18"/>
                <w:szCs w:val="18"/>
              </w:rPr>
              <w:t>1143株</w:t>
            </w:r>
            <w:r>
              <w:rPr>
                <w:color w:val="auto"/>
                <w:sz w:val="18"/>
                <w:szCs w:val="18"/>
              </w:rPr>
              <w:t>，</w:t>
            </w:r>
            <w:r>
              <w:rPr>
                <w:rFonts w:hint="eastAsia"/>
                <w:color w:val="auto"/>
                <w:sz w:val="18"/>
                <w:szCs w:val="18"/>
              </w:rPr>
              <w:t>植物</w:t>
            </w:r>
            <w:r>
              <w:rPr>
                <w:color w:val="auto"/>
                <w:sz w:val="18"/>
                <w:szCs w:val="18"/>
              </w:rPr>
              <w:t>绿化带</w:t>
            </w:r>
            <w:r>
              <w:rPr>
                <w:rFonts w:hint="eastAsia"/>
                <w:color w:val="auto"/>
                <w:sz w:val="18"/>
                <w:szCs w:val="18"/>
              </w:rPr>
              <w:t>0.10</w:t>
            </w:r>
            <w:r>
              <w:rPr>
                <w:color w:val="auto"/>
                <w:sz w:val="18"/>
                <w:szCs w:val="18"/>
              </w:rPr>
              <w:t>m</w:t>
            </w:r>
            <w:r>
              <w:rPr>
                <w:color w:val="auto"/>
                <w:sz w:val="18"/>
                <w:szCs w:val="18"/>
                <w:vertAlign w:val="superscript"/>
              </w:rPr>
              <w:t>2</w:t>
            </w:r>
            <w:r>
              <w:rPr>
                <w:rFonts w:hint="eastAsia"/>
                <w:color w:val="auto"/>
                <w:sz w:val="18"/>
                <w:szCs w:val="18"/>
              </w:rPr>
              <w:t>。</w:t>
            </w:r>
          </w:p>
          <w:p>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360" w:firstLineChars="200"/>
              <w:jc w:val="both"/>
              <w:textAlignment w:val="auto"/>
              <w:outlineLvl w:val="9"/>
              <w:rPr>
                <w:rFonts w:hint="default"/>
                <w:color w:val="auto"/>
                <w:sz w:val="18"/>
                <w:szCs w:val="18"/>
              </w:rPr>
            </w:pPr>
            <w:r>
              <w:rPr>
                <w:rFonts w:hint="eastAsia"/>
                <w:color w:val="auto"/>
                <w:sz w:val="18"/>
                <w:szCs w:val="18"/>
              </w:rPr>
              <w:t>临时措施</w:t>
            </w:r>
            <w:r>
              <w:rPr>
                <w:color w:val="auto"/>
                <w:sz w:val="18"/>
                <w:szCs w:val="18"/>
              </w:rPr>
              <w:t>：</w:t>
            </w:r>
            <w:r>
              <w:rPr>
                <w:rFonts w:hint="eastAsia"/>
                <w:color w:val="auto"/>
                <w:sz w:val="18"/>
                <w:szCs w:val="18"/>
              </w:rPr>
              <w:t>临时</w:t>
            </w:r>
            <w:r>
              <w:rPr>
                <w:color w:val="auto"/>
                <w:sz w:val="18"/>
                <w:szCs w:val="18"/>
              </w:rPr>
              <w:t>排水沟2437m，</w:t>
            </w:r>
            <w:r>
              <w:rPr>
                <w:rFonts w:hint="eastAsia"/>
                <w:color w:val="auto"/>
                <w:sz w:val="18"/>
                <w:szCs w:val="18"/>
              </w:rPr>
              <w:t>临时土袋拦挡579</w:t>
            </w:r>
            <w:r>
              <w:rPr>
                <w:color w:val="auto"/>
                <w:sz w:val="18"/>
                <w:szCs w:val="18"/>
              </w:rPr>
              <w:t>m，</w:t>
            </w:r>
            <w:r>
              <w:rPr>
                <w:rFonts w:hint="eastAsia"/>
                <w:color w:val="auto"/>
                <w:sz w:val="18"/>
                <w:szCs w:val="18"/>
              </w:rPr>
              <w:t>临时沉砂池5口。</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340" w:hRule="atLeast"/>
          <w:jc w:val="center"/>
        </w:trPr>
        <w:tc>
          <w:tcPr>
            <w:tcW w:w="460" w:type="dxa"/>
            <w:vMerge w:val="restart"/>
            <w:tcBorders>
              <w:tl2br w:val="nil"/>
              <w:tr2bl w:val="nil"/>
            </w:tcBorders>
            <w:tcMar>
              <w:top w:w="0" w:type="dxa"/>
              <w:left w:w="57" w:type="dxa"/>
              <w:bottom w:w="0" w:type="dxa"/>
              <w:right w:w="57" w:type="dxa"/>
            </w:tcMar>
            <w:vAlign w:val="center"/>
          </w:tcPr>
          <w:p>
            <w:pPr>
              <w:pStyle w:val="16"/>
              <w:rPr>
                <w:rFonts w:hint="default"/>
                <w:color w:val="auto"/>
                <w:sz w:val="18"/>
                <w:szCs w:val="18"/>
              </w:rPr>
            </w:pPr>
            <w:r>
              <w:rPr>
                <w:rFonts w:hint="default"/>
                <w:color w:val="auto"/>
                <w:sz w:val="18"/>
                <w:szCs w:val="18"/>
              </w:rPr>
              <w:t>监测结论</w:t>
            </w:r>
          </w:p>
        </w:tc>
        <w:tc>
          <w:tcPr>
            <w:tcW w:w="460" w:type="dxa"/>
            <w:vMerge w:val="restart"/>
            <w:tcBorders>
              <w:tl2br w:val="nil"/>
              <w:tr2bl w:val="nil"/>
            </w:tcBorders>
            <w:vAlign w:val="center"/>
          </w:tcPr>
          <w:p>
            <w:pPr>
              <w:pStyle w:val="16"/>
              <w:rPr>
                <w:rFonts w:hint="default"/>
                <w:color w:val="auto"/>
                <w:sz w:val="18"/>
                <w:szCs w:val="18"/>
              </w:rPr>
            </w:pPr>
            <w:r>
              <w:rPr>
                <w:rFonts w:hint="default"/>
                <w:color w:val="auto"/>
                <w:sz w:val="18"/>
                <w:szCs w:val="18"/>
              </w:rPr>
              <w:t>防治效果</w:t>
            </w:r>
          </w:p>
        </w:tc>
        <w:tc>
          <w:tcPr>
            <w:tcW w:w="896" w:type="dxa"/>
            <w:tcBorders>
              <w:tl2br w:val="nil"/>
              <w:tr2bl w:val="nil"/>
            </w:tcBorders>
            <w:vAlign w:val="center"/>
          </w:tcPr>
          <w:p>
            <w:pPr>
              <w:pStyle w:val="16"/>
              <w:rPr>
                <w:rFonts w:hint="default"/>
                <w:color w:val="auto"/>
                <w:sz w:val="18"/>
                <w:szCs w:val="18"/>
              </w:rPr>
            </w:pPr>
            <w:r>
              <w:rPr>
                <w:rFonts w:hint="default"/>
                <w:color w:val="auto"/>
                <w:sz w:val="18"/>
                <w:szCs w:val="18"/>
              </w:rPr>
              <w:t>分类指标</w:t>
            </w:r>
          </w:p>
        </w:tc>
        <w:tc>
          <w:tcPr>
            <w:tcW w:w="896" w:type="dxa"/>
            <w:tcBorders>
              <w:tl2br w:val="nil"/>
              <w:tr2bl w:val="nil"/>
            </w:tcBorders>
            <w:vAlign w:val="center"/>
          </w:tcPr>
          <w:p>
            <w:pPr>
              <w:pStyle w:val="16"/>
              <w:rPr>
                <w:rFonts w:hint="default"/>
                <w:color w:val="auto"/>
                <w:sz w:val="18"/>
                <w:szCs w:val="18"/>
              </w:rPr>
            </w:pPr>
            <w:r>
              <w:rPr>
                <w:rFonts w:hint="default"/>
                <w:color w:val="auto"/>
                <w:sz w:val="18"/>
                <w:szCs w:val="18"/>
              </w:rPr>
              <w:t>目标值（%）</w:t>
            </w:r>
          </w:p>
        </w:tc>
        <w:tc>
          <w:tcPr>
            <w:tcW w:w="896" w:type="dxa"/>
            <w:tcBorders>
              <w:tl2br w:val="nil"/>
              <w:tr2bl w:val="nil"/>
            </w:tcBorders>
            <w:vAlign w:val="center"/>
          </w:tcPr>
          <w:p>
            <w:pPr>
              <w:pStyle w:val="16"/>
              <w:rPr>
                <w:rFonts w:hint="default"/>
                <w:color w:val="auto"/>
                <w:sz w:val="18"/>
                <w:szCs w:val="18"/>
              </w:rPr>
            </w:pPr>
            <w:r>
              <w:rPr>
                <w:rFonts w:hint="default"/>
                <w:color w:val="auto"/>
                <w:sz w:val="18"/>
                <w:szCs w:val="18"/>
              </w:rPr>
              <w:t>达到值（%）</w:t>
            </w:r>
          </w:p>
        </w:tc>
        <w:tc>
          <w:tcPr>
            <w:tcW w:w="4813" w:type="dxa"/>
            <w:gridSpan w:val="10"/>
            <w:tcBorders>
              <w:tl2br w:val="nil"/>
              <w:tr2bl w:val="nil"/>
            </w:tcBorders>
            <w:vAlign w:val="center"/>
          </w:tcPr>
          <w:p>
            <w:pPr>
              <w:pStyle w:val="16"/>
              <w:rPr>
                <w:rFonts w:hint="default"/>
                <w:color w:val="auto"/>
                <w:sz w:val="18"/>
                <w:szCs w:val="18"/>
              </w:rPr>
            </w:pPr>
            <w:r>
              <w:rPr>
                <w:rFonts w:hint="default"/>
                <w:color w:val="auto"/>
                <w:sz w:val="18"/>
                <w:szCs w:val="18"/>
              </w:rPr>
              <w:t>实际监测数量hm²</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340" w:hRule="atLeast"/>
          <w:jc w:val="center"/>
        </w:trPr>
        <w:tc>
          <w:tcPr>
            <w:tcW w:w="460" w:type="dxa"/>
            <w:vMerge w:val="continue"/>
            <w:tcBorders>
              <w:tl2br w:val="nil"/>
              <w:tr2bl w:val="nil"/>
            </w:tcBorders>
            <w:vAlign w:val="center"/>
          </w:tcPr>
          <w:p>
            <w:pPr>
              <w:pStyle w:val="16"/>
              <w:rPr>
                <w:rFonts w:hint="default"/>
                <w:color w:val="auto"/>
                <w:sz w:val="18"/>
                <w:szCs w:val="18"/>
              </w:rPr>
            </w:pPr>
          </w:p>
        </w:tc>
        <w:tc>
          <w:tcPr>
            <w:tcW w:w="460" w:type="dxa"/>
            <w:vMerge w:val="continue"/>
            <w:tcBorders>
              <w:tl2br w:val="nil"/>
              <w:tr2bl w:val="nil"/>
            </w:tcBorders>
            <w:vAlign w:val="center"/>
          </w:tcPr>
          <w:p>
            <w:pPr>
              <w:pStyle w:val="16"/>
              <w:rPr>
                <w:rFonts w:hint="default"/>
                <w:color w:val="auto"/>
                <w:sz w:val="18"/>
                <w:szCs w:val="18"/>
              </w:rPr>
            </w:pPr>
          </w:p>
        </w:tc>
        <w:tc>
          <w:tcPr>
            <w:tcW w:w="896" w:type="dxa"/>
            <w:tcBorders>
              <w:tl2br w:val="nil"/>
              <w:tr2bl w:val="nil"/>
            </w:tcBorders>
            <w:vAlign w:val="center"/>
          </w:tcPr>
          <w:p>
            <w:pPr>
              <w:pStyle w:val="16"/>
              <w:rPr>
                <w:rFonts w:hint="default"/>
                <w:color w:val="auto"/>
                <w:sz w:val="18"/>
                <w:szCs w:val="18"/>
              </w:rPr>
            </w:pPr>
            <w:r>
              <w:rPr>
                <w:rFonts w:hint="default"/>
                <w:color w:val="auto"/>
                <w:sz w:val="18"/>
                <w:szCs w:val="18"/>
              </w:rPr>
              <w:t>扰动土地整治率</w:t>
            </w:r>
          </w:p>
        </w:tc>
        <w:tc>
          <w:tcPr>
            <w:tcW w:w="896" w:type="dxa"/>
            <w:tcBorders>
              <w:tl2br w:val="nil"/>
              <w:tr2bl w:val="nil"/>
            </w:tcBorders>
            <w:vAlign w:val="center"/>
          </w:tcPr>
          <w:p>
            <w:pPr>
              <w:pStyle w:val="16"/>
              <w:rPr>
                <w:rFonts w:hint="default"/>
                <w:color w:val="auto"/>
                <w:sz w:val="18"/>
                <w:szCs w:val="18"/>
              </w:rPr>
            </w:pPr>
            <w:r>
              <w:rPr>
                <w:rFonts w:hint="default"/>
                <w:color w:val="auto"/>
                <w:sz w:val="18"/>
                <w:szCs w:val="18"/>
              </w:rPr>
              <w:t>&gt;95</w:t>
            </w:r>
          </w:p>
        </w:tc>
        <w:tc>
          <w:tcPr>
            <w:tcW w:w="896" w:type="dxa"/>
            <w:tcBorders>
              <w:tl2br w:val="nil"/>
              <w:tr2bl w:val="nil"/>
            </w:tcBorders>
            <w:vAlign w:val="center"/>
          </w:tcPr>
          <w:p>
            <w:pPr>
              <w:spacing w:line="240" w:lineRule="auto"/>
              <w:ind w:firstLine="0" w:firstLineChars="0"/>
              <w:jc w:val="center"/>
              <w:rPr>
                <w:rFonts w:hint="default" w:ascii="Times New Roman" w:hAnsi="Times New Roman" w:eastAsia="黑体" w:cs="Times New Roman"/>
                <w:color w:val="auto"/>
                <w:sz w:val="18"/>
                <w:szCs w:val="18"/>
                <w:lang w:val="en-US" w:eastAsia="zh-CN"/>
              </w:rPr>
            </w:pPr>
            <w:r>
              <w:rPr>
                <w:rFonts w:hint="eastAsia" w:ascii="Times New Roman" w:hAnsi="Times New Roman"/>
                <w:color w:val="auto"/>
                <w:sz w:val="21"/>
                <w:szCs w:val="21"/>
                <w:lang w:eastAsia="zh-CN"/>
              </w:rPr>
              <w:t>99.82</w:t>
            </w:r>
          </w:p>
        </w:tc>
        <w:tc>
          <w:tcPr>
            <w:tcW w:w="792" w:type="dxa"/>
            <w:gridSpan w:val="3"/>
            <w:tcBorders>
              <w:tl2br w:val="nil"/>
              <w:tr2bl w:val="nil"/>
            </w:tcBorders>
            <w:tcMar>
              <w:top w:w="0" w:type="dxa"/>
              <w:left w:w="57" w:type="dxa"/>
              <w:bottom w:w="0" w:type="dxa"/>
              <w:right w:w="57" w:type="dxa"/>
            </w:tcMar>
            <w:vAlign w:val="center"/>
          </w:tcPr>
          <w:p>
            <w:pPr>
              <w:pStyle w:val="16"/>
              <w:rPr>
                <w:rFonts w:hint="default"/>
                <w:color w:val="auto"/>
                <w:sz w:val="18"/>
                <w:szCs w:val="18"/>
              </w:rPr>
            </w:pPr>
            <w:r>
              <w:rPr>
                <w:rFonts w:hint="default"/>
                <w:color w:val="auto"/>
                <w:sz w:val="18"/>
                <w:szCs w:val="18"/>
              </w:rPr>
              <w:t>防治措施面积</w:t>
            </w:r>
          </w:p>
        </w:tc>
        <w:tc>
          <w:tcPr>
            <w:tcW w:w="641" w:type="dxa"/>
            <w:tcBorders>
              <w:tl2br w:val="nil"/>
              <w:tr2bl w:val="nil"/>
            </w:tcBorders>
            <w:tcMar>
              <w:top w:w="0" w:type="dxa"/>
              <w:left w:w="57" w:type="dxa"/>
              <w:bottom w:w="0" w:type="dxa"/>
              <w:right w:w="57" w:type="dxa"/>
            </w:tcMar>
            <w:vAlign w:val="center"/>
          </w:tcPr>
          <w:p>
            <w:pPr>
              <w:pStyle w:val="16"/>
              <w:rPr>
                <w:rFonts w:hint="default"/>
                <w:color w:val="auto"/>
                <w:sz w:val="18"/>
                <w:szCs w:val="18"/>
              </w:rPr>
            </w:pPr>
            <w:r>
              <w:rPr>
                <w:rFonts w:hint="eastAsia"/>
                <w:color w:val="auto"/>
                <w:sz w:val="18"/>
                <w:szCs w:val="18"/>
                <w:lang w:val="en-US" w:eastAsia="zh-CN"/>
              </w:rPr>
              <w:t>1.98</w:t>
            </w:r>
            <w:r>
              <w:rPr>
                <w:rFonts w:hint="default"/>
                <w:color w:val="auto"/>
                <w:sz w:val="18"/>
                <w:szCs w:val="18"/>
              </w:rPr>
              <w:t>hm²</w:t>
            </w:r>
          </w:p>
        </w:tc>
        <w:tc>
          <w:tcPr>
            <w:tcW w:w="950" w:type="dxa"/>
            <w:gridSpan w:val="2"/>
            <w:tcBorders>
              <w:tl2br w:val="nil"/>
              <w:tr2bl w:val="nil"/>
            </w:tcBorders>
            <w:tcMar>
              <w:top w:w="0" w:type="dxa"/>
              <w:left w:w="57" w:type="dxa"/>
              <w:bottom w:w="0" w:type="dxa"/>
              <w:right w:w="57" w:type="dxa"/>
            </w:tcMar>
            <w:vAlign w:val="center"/>
          </w:tcPr>
          <w:p>
            <w:pPr>
              <w:pStyle w:val="16"/>
              <w:rPr>
                <w:rFonts w:hint="default"/>
                <w:color w:val="auto"/>
                <w:sz w:val="18"/>
                <w:szCs w:val="18"/>
              </w:rPr>
            </w:pPr>
            <w:r>
              <w:rPr>
                <w:rFonts w:hint="default"/>
                <w:color w:val="auto"/>
                <w:sz w:val="18"/>
                <w:szCs w:val="18"/>
              </w:rPr>
              <w:t>永久建筑物及硬化面积</w:t>
            </w:r>
          </w:p>
        </w:tc>
        <w:tc>
          <w:tcPr>
            <w:tcW w:w="638" w:type="dxa"/>
            <w:tcBorders>
              <w:tl2br w:val="nil"/>
              <w:tr2bl w:val="nil"/>
            </w:tcBorders>
            <w:tcMar>
              <w:top w:w="0" w:type="dxa"/>
              <w:left w:w="57" w:type="dxa"/>
              <w:bottom w:w="0" w:type="dxa"/>
              <w:right w:w="57" w:type="dxa"/>
            </w:tcMar>
            <w:vAlign w:val="center"/>
          </w:tcPr>
          <w:p>
            <w:pPr>
              <w:pStyle w:val="16"/>
              <w:rPr>
                <w:rFonts w:hint="default"/>
                <w:color w:val="auto"/>
                <w:sz w:val="18"/>
                <w:szCs w:val="18"/>
              </w:rPr>
            </w:pPr>
            <w:r>
              <w:rPr>
                <w:rFonts w:hint="eastAsia"/>
                <w:color w:val="auto"/>
                <w:sz w:val="18"/>
                <w:szCs w:val="18"/>
                <w:lang w:val="en-US" w:eastAsia="zh-CN"/>
              </w:rPr>
              <w:t>3.44</w:t>
            </w:r>
            <w:r>
              <w:rPr>
                <w:rFonts w:hint="default"/>
                <w:color w:val="auto"/>
                <w:sz w:val="18"/>
                <w:szCs w:val="18"/>
              </w:rPr>
              <w:t>hm²</w:t>
            </w:r>
          </w:p>
        </w:tc>
        <w:tc>
          <w:tcPr>
            <w:tcW w:w="827" w:type="dxa"/>
            <w:gridSpan w:val="2"/>
            <w:tcBorders>
              <w:tl2br w:val="nil"/>
              <w:tr2bl w:val="nil"/>
            </w:tcBorders>
            <w:tcMar>
              <w:top w:w="0" w:type="dxa"/>
              <w:left w:w="57" w:type="dxa"/>
              <w:bottom w:w="0" w:type="dxa"/>
              <w:right w:w="57" w:type="dxa"/>
            </w:tcMar>
            <w:vAlign w:val="center"/>
          </w:tcPr>
          <w:p>
            <w:pPr>
              <w:pStyle w:val="16"/>
              <w:rPr>
                <w:rFonts w:hint="default"/>
                <w:color w:val="auto"/>
                <w:sz w:val="18"/>
                <w:szCs w:val="18"/>
              </w:rPr>
            </w:pPr>
            <w:r>
              <w:rPr>
                <w:rFonts w:hint="default"/>
                <w:color w:val="auto"/>
                <w:sz w:val="18"/>
                <w:szCs w:val="18"/>
              </w:rPr>
              <w:t>扰动地表面积</w:t>
            </w:r>
          </w:p>
        </w:tc>
        <w:tc>
          <w:tcPr>
            <w:tcW w:w="965" w:type="dxa"/>
            <w:tcBorders>
              <w:tl2br w:val="nil"/>
              <w:tr2bl w:val="nil"/>
            </w:tcBorders>
            <w:tcMar>
              <w:top w:w="0" w:type="dxa"/>
              <w:left w:w="57" w:type="dxa"/>
              <w:bottom w:w="0" w:type="dxa"/>
              <w:right w:w="57" w:type="dxa"/>
            </w:tcMar>
            <w:vAlign w:val="center"/>
          </w:tcPr>
          <w:p>
            <w:pPr>
              <w:pStyle w:val="16"/>
              <w:rPr>
                <w:rFonts w:hint="default"/>
                <w:color w:val="auto"/>
                <w:sz w:val="18"/>
                <w:szCs w:val="18"/>
              </w:rPr>
            </w:pPr>
            <w:r>
              <w:rPr>
                <w:rFonts w:hint="eastAsia"/>
                <w:color w:val="auto"/>
                <w:sz w:val="18"/>
                <w:szCs w:val="18"/>
                <w:lang w:val="en-US" w:eastAsia="zh-CN"/>
              </w:rPr>
              <w:t>5.43h</w:t>
            </w:r>
            <w:r>
              <w:rPr>
                <w:rFonts w:hint="default"/>
                <w:color w:val="auto"/>
                <w:sz w:val="18"/>
                <w:szCs w:val="18"/>
              </w:rPr>
              <w:t>m²</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653" w:hRule="atLeast"/>
          <w:jc w:val="center"/>
        </w:trPr>
        <w:tc>
          <w:tcPr>
            <w:tcW w:w="460" w:type="dxa"/>
            <w:vMerge w:val="continue"/>
            <w:tcBorders>
              <w:tl2br w:val="nil"/>
              <w:tr2bl w:val="nil"/>
            </w:tcBorders>
            <w:vAlign w:val="center"/>
          </w:tcPr>
          <w:p>
            <w:pPr>
              <w:pStyle w:val="16"/>
              <w:rPr>
                <w:rFonts w:hint="default"/>
                <w:color w:val="auto"/>
                <w:sz w:val="18"/>
                <w:szCs w:val="18"/>
              </w:rPr>
            </w:pPr>
          </w:p>
        </w:tc>
        <w:tc>
          <w:tcPr>
            <w:tcW w:w="460" w:type="dxa"/>
            <w:vMerge w:val="continue"/>
            <w:tcBorders>
              <w:tl2br w:val="nil"/>
              <w:tr2bl w:val="nil"/>
            </w:tcBorders>
            <w:vAlign w:val="center"/>
          </w:tcPr>
          <w:p>
            <w:pPr>
              <w:pStyle w:val="16"/>
              <w:rPr>
                <w:rFonts w:hint="default"/>
                <w:color w:val="auto"/>
                <w:sz w:val="18"/>
                <w:szCs w:val="18"/>
              </w:rPr>
            </w:pPr>
          </w:p>
        </w:tc>
        <w:tc>
          <w:tcPr>
            <w:tcW w:w="896" w:type="dxa"/>
            <w:tcBorders>
              <w:tl2br w:val="nil"/>
              <w:tr2bl w:val="nil"/>
            </w:tcBorders>
            <w:vAlign w:val="center"/>
          </w:tcPr>
          <w:p>
            <w:pPr>
              <w:pStyle w:val="16"/>
              <w:rPr>
                <w:rFonts w:hint="default"/>
                <w:color w:val="auto"/>
                <w:sz w:val="18"/>
                <w:szCs w:val="18"/>
              </w:rPr>
            </w:pPr>
            <w:r>
              <w:rPr>
                <w:rFonts w:hint="default"/>
                <w:color w:val="auto"/>
                <w:sz w:val="18"/>
                <w:szCs w:val="18"/>
              </w:rPr>
              <w:t>水土流失总治理度</w:t>
            </w:r>
          </w:p>
        </w:tc>
        <w:tc>
          <w:tcPr>
            <w:tcW w:w="896" w:type="dxa"/>
            <w:tcBorders>
              <w:tl2br w:val="nil"/>
              <w:tr2bl w:val="nil"/>
            </w:tcBorders>
            <w:tcMar>
              <w:top w:w="0" w:type="dxa"/>
              <w:left w:w="57" w:type="dxa"/>
              <w:bottom w:w="0" w:type="dxa"/>
              <w:right w:w="57" w:type="dxa"/>
            </w:tcMar>
            <w:vAlign w:val="center"/>
          </w:tcPr>
          <w:p>
            <w:pPr>
              <w:pStyle w:val="16"/>
              <w:rPr>
                <w:rFonts w:hint="default"/>
                <w:color w:val="auto"/>
                <w:sz w:val="18"/>
                <w:szCs w:val="18"/>
              </w:rPr>
            </w:pPr>
            <w:r>
              <w:rPr>
                <w:rFonts w:hint="default"/>
                <w:color w:val="auto"/>
                <w:sz w:val="18"/>
                <w:szCs w:val="18"/>
              </w:rPr>
              <w:t>&gt;97</w:t>
            </w:r>
          </w:p>
        </w:tc>
        <w:tc>
          <w:tcPr>
            <w:tcW w:w="896" w:type="dxa"/>
            <w:tcBorders>
              <w:tl2br w:val="nil"/>
              <w:tr2bl w:val="nil"/>
            </w:tcBorders>
            <w:vAlign w:val="center"/>
          </w:tcPr>
          <w:p>
            <w:pPr>
              <w:spacing w:line="240" w:lineRule="auto"/>
              <w:ind w:firstLine="0" w:firstLineChars="0"/>
              <w:jc w:val="center"/>
              <w:rPr>
                <w:rFonts w:hint="eastAsia" w:ascii="Times New Roman" w:hAnsi="Times New Roman" w:eastAsia="黑体" w:cs="Times New Roman"/>
                <w:color w:val="auto"/>
                <w:sz w:val="18"/>
                <w:szCs w:val="18"/>
                <w:lang w:val="en-US" w:eastAsia="zh-CN"/>
              </w:rPr>
            </w:pPr>
            <w:r>
              <w:rPr>
                <w:rFonts w:hint="eastAsia" w:ascii="Times New Roman" w:hAnsi="Times New Roman"/>
                <w:color w:val="auto"/>
                <w:sz w:val="21"/>
                <w:szCs w:val="21"/>
                <w:lang w:eastAsia="zh-CN"/>
              </w:rPr>
              <w:t>99.50</w:t>
            </w:r>
          </w:p>
        </w:tc>
        <w:tc>
          <w:tcPr>
            <w:tcW w:w="1433" w:type="dxa"/>
            <w:gridSpan w:val="4"/>
            <w:tcBorders>
              <w:tl2br w:val="nil"/>
              <w:tr2bl w:val="nil"/>
            </w:tcBorders>
            <w:vAlign w:val="center"/>
          </w:tcPr>
          <w:p>
            <w:pPr>
              <w:pStyle w:val="16"/>
              <w:rPr>
                <w:rFonts w:hint="default"/>
                <w:color w:val="auto"/>
                <w:sz w:val="18"/>
                <w:szCs w:val="18"/>
              </w:rPr>
            </w:pPr>
            <w:r>
              <w:rPr>
                <w:rFonts w:hint="default"/>
                <w:color w:val="auto"/>
                <w:sz w:val="18"/>
                <w:szCs w:val="18"/>
              </w:rPr>
              <w:t>防治责任</w:t>
            </w:r>
          </w:p>
          <w:p>
            <w:pPr>
              <w:pStyle w:val="16"/>
              <w:rPr>
                <w:rFonts w:hint="default"/>
                <w:color w:val="auto"/>
                <w:sz w:val="18"/>
                <w:szCs w:val="18"/>
              </w:rPr>
            </w:pPr>
            <w:r>
              <w:rPr>
                <w:rFonts w:hint="default"/>
                <w:color w:val="auto"/>
                <w:sz w:val="18"/>
                <w:szCs w:val="18"/>
              </w:rPr>
              <w:t>范围面积</w:t>
            </w:r>
          </w:p>
        </w:tc>
        <w:tc>
          <w:tcPr>
            <w:tcW w:w="950" w:type="dxa"/>
            <w:gridSpan w:val="2"/>
            <w:tcBorders>
              <w:tl2br w:val="nil"/>
              <w:tr2bl w:val="nil"/>
            </w:tcBorders>
            <w:vAlign w:val="center"/>
          </w:tcPr>
          <w:p>
            <w:pPr>
              <w:pStyle w:val="16"/>
              <w:rPr>
                <w:rFonts w:hint="default"/>
                <w:color w:val="auto"/>
                <w:sz w:val="18"/>
                <w:szCs w:val="18"/>
              </w:rPr>
            </w:pPr>
            <w:r>
              <w:rPr>
                <w:rFonts w:hint="eastAsia"/>
                <w:color w:val="auto"/>
                <w:sz w:val="18"/>
                <w:szCs w:val="18"/>
                <w:lang w:val="en-US" w:eastAsia="zh-CN"/>
              </w:rPr>
              <w:t>5.43</w:t>
            </w:r>
            <w:r>
              <w:rPr>
                <w:rFonts w:hint="default"/>
                <w:color w:val="auto"/>
                <w:sz w:val="18"/>
                <w:szCs w:val="18"/>
              </w:rPr>
              <w:t>hm²</w:t>
            </w:r>
          </w:p>
        </w:tc>
        <w:tc>
          <w:tcPr>
            <w:tcW w:w="1079" w:type="dxa"/>
            <w:gridSpan w:val="2"/>
            <w:tcBorders>
              <w:tl2br w:val="nil"/>
              <w:tr2bl w:val="nil"/>
            </w:tcBorders>
            <w:vAlign w:val="center"/>
          </w:tcPr>
          <w:p>
            <w:pPr>
              <w:pStyle w:val="16"/>
              <w:rPr>
                <w:rFonts w:hint="default"/>
                <w:color w:val="auto"/>
                <w:sz w:val="18"/>
                <w:szCs w:val="18"/>
              </w:rPr>
            </w:pPr>
            <w:r>
              <w:rPr>
                <w:rFonts w:hint="default"/>
                <w:color w:val="auto"/>
                <w:sz w:val="18"/>
                <w:szCs w:val="18"/>
              </w:rPr>
              <w:t>水土流失</w:t>
            </w:r>
          </w:p>
          <w:p>
            <w:pPr>
              <w:pStyle w:val="16"/>
              <w:rPr>
                <w:rFonts w:hint="default"/>
                <w:color w:val="auto"/>
                <w:sz w:val="18"/>
                <w:szCs w:val="18"/>
              </w:rPr>
            </w:pPr>
            <w:r>
              <w:rPr>
                <w:rFonts w:hint="default"/>
                <w:color w:val="auto"/>
                <w:sz w:val="18"/>
                <w:szCs w:val="18"/>
              </w:rPr>
              <w:t>总面积</w:t>
            </w:r>
          </w:p>
        </w:tc>
        <w:tc>
          <w:tcPr>
            <w:tcW w:w="1351" w:type="dxa"/>
            <w:gridSpan w:val="2"/>
            <w:tcBorders>
              <w:tl2br w:val="nil"/>
              <w:tr2bl w:val="nil"/>
            </w:tcBorders>
            <w:vAlign w:val="center"/>
          </w:tcPr>
          <w:p>
            <w:pPr>
              <w:pStyle w:val="16"/>
              <w:rPr>
                <w:rFonts w:hint="default"/>
                <w:color w:val="auto"/>
                <w:sz w:val="18"/>
                <w:szCs w:val="18"/>
              </w:rPr>
            </w:pPr>
            <w:r>
              <w:rPr>
                <w:rFonts w:hint="eastAsia"/>
                <w:color w:val="auto"/>
                <w:sz w:val="18"/>
                <w:szCs w:val="18"/>
                <w:lang w:val="en-US" w:eastAsia="zh-CN"/>
              </w:rPr>
              <w:t>1.99</w:t>
            </w:r>
            <w:r>
              <w:rPr>
                <w:rFonts w:hint="default"/>
                <w:color w:val="auto"/>
                <w:sz w:val="18"/>
                <w:szCs w:val="18"/>
              </w:rPr>
              <w:t xml:space="preserve"> hm²</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90" w:hRule="atLeast"/>
          <w:jc w:val="center"/>
        </w:trPr>
        <w:tc>
          <w:tcPr>
            <w:tcW w:w="460" w:type="dxa"/>
            <w:vMerge w:val="continue"/>
            <w:tcBorders>
              <w:tl2br w:val="nil"/>
              <w:tr2bl w:val="nil"/>
            </w:tcBorders>
            <w:vAlign w:val="center"/>
          </w:tcPr>
          <w:p>
            <w:pPr>
              <w:pStyle w:val="16"/>
              <w:rPr>
                <w:rFonts w:hint="default"/>
                <w:color w:val="auto"/>
                <w:sz w:val="18"/>
                <w:szCs w:val="18"/>
              </w:rPr>
            </w:pPr>
          </w:p>
        </w:tc>
        <w:tc>
          <w:tcPr>
            <w:tcW w:w="460" w:type="dxa"/>
            <w:vMerge w:val="continue"/>
            <w:tcBorders>
              <w:tl2br w:val="nil"/>
              <w:tr2bl w:val="nil"/>
            </w:tcBorders>
            <w:vAlign w:val="center"/>
          </w:tcPr>
          <w:p>
            <w:pPr>
              <w:pStyle w:val="16"/>
              <w:rPr>
                <w:rFonts w:hint="default"/>
                <w:color w:val="auto"/>
                <w:sz w:val="18"/>
                <w:szCs w:val="18"/>
              </w:rPr>
            </w:pPr>
          </w:p>
        </w:tc>
        <w:tc>
          <w:tcPr>
            <w:tcW w:w="896" w:type="dxa"/>
            <w:tcBorders>
              <w:tl2br w:val="nil"/>
              <w:tr2bl w:val="nil"/>
            </w:tcBorders>
            <w:vAlign w:val="center"/>
          </w:tcPr>
          <w:p>
            <w:pPr>
              <w:pStyle w:val="16"/>
              <w:rPr>
                <w:rFonts w:hint="default"/>
                <w:color w:val="auto"/>
                <w:sz w:val="18"/>
                <w:szCs w:val="18"/>
              </w:rPr>
            </w:pPr>
            <w:r>
              <w:rPr>
                <w:rFonts w:hint="default"/>
                <w:color w:val="auto"/>
                <w:sz w:val="18"/>
                <w:szCs w:val="18"/>
              </w:rPr>
              <w:t>土壤流失控制比</w:t>
            </w:r>
          </w:p>
        </w:tc>
        <w:tc>
          <w:tcPr>
            <w:tcW w:w="896" w:type="dxa"/>
            <w:tcBorders>
              <w:tl2br w:val="nil"/>
              <w:tr2bl w:val="nil"/>
            </w:tcBorders>
            <w:tcMar>
              <w:top w:w="0" w:type="dxa"/>
              <w:left w:w="57" w:type="dxa"/>
              <w:bottom w:w="0" w:type="dxa"/>
              <w:right w:w="57" w:type="dxa"/>
            </w:tcMar>
            <w:vAlign w:val="center"/>
          </w:tcPr>
          <w:p>
            <w:pPr>
              <w:pStyle w:val="16"/>
              <w:rPr>
                <w:rFonts w:hint="default"/>
                <w:color w:val="auto"/>
                <w:sz w:val="18"/>
                <w:szCs w:val="18"/>
              </w:rPr>
            </w:pPr>
            <w:r>
              <w:rPr>
                <w:rFonts w:hint="default"/>
                <w:color w:val="auto"/>
                <w:sz w:val="18"/>
                <w:szCs w:val="18"/>
              </w:rPr>
              <w:t>≥1</w:t>
            </w:r>
          </w:p>
        </w:tc>
        <w:tc>
          <w:tcPr>
            <w:tcW w:w="896" w:type="dxa"/>
            <w:tcBorders>
              <w:tl2br w:val="nil"/>
              <w:tr2bl w:val="nil"/>
            </w:tcBorders>
            <w:vAlign w:val="center"/>
          </w:tcPr>
          <w:p>
            <w:pPr>
              <w:spacing w:line="240" w:lineRule="auto"/>
              <w:ind w:firstLine="0" w:firstLineChars="0"/>
              <w:jc w:val="center"/>
              <w:rPr>
                <w:rFonts w:hint="eastAsia" w:ascii="Times New Roman" w:hAnsi="Times New Roman" w:eastAsia="黑体" w:cs="Times New Roman"/>
                <w:color w:val="auto"/>
                <w:sz w:val="18"/>
                <w:szCs w:val="18"/>
                <w:lang w:val="en-US" w:eastAsia="zh-CN"/>
              </w:rPr>
            </w:pPr>
            <w:r>
              <w:rPr>
                <w:rFonts w:hint="eastAsia" w:ascii="Times New Roman" w:hAnsi="Times New Roman"/>
                <w:color w:val="auto"/>
                <w:sz w:val="21"/>
                <w:szCs w:val="21"/>
                <w:lang w:eastAsia="zh-CN"/>
              </w:rPr>
              <w:t>1.43</w:t>
            </w:r>
          </w:p>
        </w:tc>
        <w:tc>
          <w:tcPr>
            <w:tcW w:w="1433" w:type="dxa"/>
            <w:gridSpan w:val="4"/>
            <w:tcBorders>
              <w:tl2br w:val="nil"/>
              <w:tr2bl w:val="nil"/>
            </w:tcBorders>
            <w:vAlign w:val="center"/>
          </w:tcPr>
          <w:p>
            <w:pPr>
              <w:pStyle w:val="16"/>
              <w:rPr>
                <w:rFonts w:hint="default"/>
                <w:color w:val="auto"/>
                <w:sz w:val="18"/>
                <w:szCs w:val="18"/>
              </w:rPr>
            </w:pPr>
            <w:r>
              <w:rPr>
                <w:rFonts w:hint="default"/>
                <w:color w:val="auto"/>
                <w:sz w:val="18"/>
                <w:szCs w:val="18"/>
              </w:rPr>
              <w:t>工程措施面积</w:t>
            </w:r>
          </w:p>
        </w:tc>
        <w:tc>
          <w:tcPr>
            <w:tcW w:w="950" w:type="dxa"/>
            <w:gridSpan w:val="2"/>
            <w:tcBorders>
              <w:tl2br w:val="nil"/>
              <w:tr2bl w:val="nil"/>
            </w:tcBorders>
            <w:vAlign w:val="center"/>
          </w:tcPr>
          <w:p>
            <w:pPr>
              <w:pStyle w:val="16"/>
              <w:rPr>
                <w:rFonts w:hint="default"/>
                <w:color w:val="auto"/>
                <w:sz w:val="18"/>
                <w:szCs w:val="18"/>
              </w:rPr>
            </w:pPr>
            <w:r>
              <w:rPr>
                <w:rFonts w:hint="eastAsia"/>
                <w:color w:val="auto"/>
                <w:sz w:val="18"/>
                <w:szCs w:val="18"/>
                <w:lang w:val="en-US" w:eastAsia="zh-CN"/>
              </w:rPr>
              <w:t>0.50</w:t>
            </w:r>
            <w:r>
              <w:rPr>
                <w:rFonts w:hint="default"/>
                <w:color w:val="auto"/>
                <w:sz w:val="18"/>
                <w:szCs w:val="18"/>
              </w:rPr>
              <w:t>hm²</w:t>
            </w:r>
          </w:p>
        </w:tc>
        <w:tc>
          <w:tcPr>
            <w:tcW w:w="1079" w:type="dxa"/>
            <w:gridSpan w:val="2"/>
            <w:tcBorders>
              <w:tl2br w:val="nil"/>
              <w:tr2bl w:val="nil"/>
            </w:tcBorders>
            <w:vAlign w:val="center"/>
          </w:tcPr>
          <w:p>
            <w:pPr>
              <w:pStyle w:val="16"/>
              <w:rPr>
                <w:rFonts w:hint="default"/>
                <w:color w:val="auto"/>
                <w:sz w:val="18"/>
                <w:szCs w:val="18"/>
              </w:rPr>
            </w:pPr>
            <w:r>
              <w:rPr>
                <w:rFonts w:hint="default"/>
                <w:color w:val="auto"/>
                <w:sz w:val="18"/>
                <w:szCs w:val="18"/>
              </w:rPr>
              <w:t>容许土</w:t>
            </w:r>
          </w:p>
          <w:p>
            <w:pPr>
              <w:pStyle w:val="16"/>
              <w:rPr>
                <w:rFonts w:hint="default"/>
                <w:color w:val="auto"/>
                <w:sz w:val="18"/>
                <w:szCs w:val="18"/>
              </w:rPr>
            </w:pPr>
            <w:r>
              <w:rPr>
                <w:rFonts w:hint="default"/>
                <w:color w:val="auto"/>
                <w:sz w:val="18"/>
                <w:szCs w:val="18"/>
              </w:rPr>
              <w:t>壤流失量</w:t>
            </w:r>
          </w:p>
        </w:tc>
        <w:tc>
          <w:tcPr>
            <w:tcW w:w="1351" w:type="dxa"/>
            <w:gridSpan w:val="2"/>
            <w:tcBorders>
              <w:tl2br w:val="nil"/>
              <w:tr2bl w:val="nil"/>
            </w:tcBorders>
            <w:vAlign w:val="center"/>
          </w:tcPr>
          <w:p>
            <w:pPr>
              <w:pStyle w:val="16"/>
              <w:rPr>
                <w:rFonts w:hint="default"/>
                <w:color w:val="auto"/>
                <w:sz w:val="18"/>
                <w:szCs w:val="18"/>
              </w:rPr>
            </w:pPr>
            <w:r>
              <w:rPr>
                <w:rFonts w:hint="default"/>
                <w:color w:val="auto"/>
                <w:sz w:val="18"/>
                <w:szCs w:val="18"/>
              </w:rPr>
              <w:t>500t/k</w:t>
            </w:r>
            <w:r>
              <w:rPr>
                <w:rFonts w:hint="eastAsia"/>
                <w:color w:val="auto"/>
                <w:sz w:val="18"/>
                <w:szCs w:val="18"/>
                <w:lang w:eastAsia="zh-CN"/>
              </w:rPr>
              <w:t>m</w:t>
            </w:r>
            <w:r>
              <w:rPr>
                <w:rFonts w:hint="eastAsia"/>
                <w:color w:val="auto"/>
                <w:sz w:val="18"/>
                <w:szCs w:val="18"/>
                <w:vertAlign w:val="superscript"/>
                <w:lang w:val="en-US" w:eastAsia="zh-CN"/>
              </w:rPr>
              <w:t>2</w:t>
            </w:r>
            <w:r>
              <w:rPr>
                <w:rFonts w:hint="default"/>
                <w:color w:val="auto"/>
                <w:sz w:val="18"/>
                <w:szCs w:val="18"/>
              </w:rPr>
              <w:t>·a</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340" w:hRule="atLeast"/>
          <w:jc w:val="center"/>
        </w:trPr>
        <w:tc>
          <w:tcPr>
            <w:tcW w:w="460" w:type="dxa"/>
            <w:vMerge w:val="continue"/>
            <w:tcBorders>
              <w:tl2br w:val="nil"/>
              <w:tr2bl w:val="nil"/>
            </w:tcBorders>
            <w:vAlign w:val="center"/>
          </w:tcPr>
          <w:p>
            <w:pPr>
              <w:pStyle w:val="16"/>
              <w:rPr>
                <w:rFonts w:hint="default"/>
                <w:color w:val="auto"/>
                <w:sz w:val="18"/>
                <w:szCs w:val="18"/>
              </w:rPr>
            </w:pPr>
          </w:p>
        </w:tc>
        <w:tc>
          <w:tcPr>
            <w:tcW w:w="460" w:type="dxa"/>
            <w:vMerge w:val="continue"/>
            <w:tcBorders>
              <w:tl2br w:val="nil"/>
              <w:tr2bl w:val="nil"/>
            </w:tcBorders>
            <w:vAlign w:val="center"/>
          </w:tcPr>
          <w:p>
            <w:pPr>
              <w:pStyle w:val="16"/>
              <w:rPr>
                <w:rFonts w:hint="default"/>
                <w:color w:val="auto"/>
                <w:sz w:val="18"/>
                <w:szCs w:val="18"/>
              </w:rPr>
            </w:pPr>
          </w:p>
        </w:tc>
        <w:tc>
          <w:tcPr>
            <w:tcW w:w="896" w:type="dxa"/>
            <w:tcBorders>
              <w:tl2br w:val="nil"/>
              <w:tr2bl w:val="nil"/>
            </w:tcBorders>
            <w:vAlign w:val="center"/>
          </w:tcPr>
          <w:p>
            <w:pPr>
              <w:pStyle w:val="16"/>
              <w:rPr>
                <w:rFonts w:hint="default"/>
                <w:color w:val="auto"/>
                <w:sz w:val="18"/>
                <w:szCs w:val="18"/>
              </w:rPr>
            </w:pPr>
            <w:r>
              <w:rPr>
                <w:rFonts w:hint="default"/>
                <w:color w:val="auto"/>
                <w:sz w:val="18"/>
                <w:szCs w:val="18"/>
              </w:rPr>
              <w:t>拦渣率</w:t>
            </w:r>
          </w:p>
        </w:tc>
        <w:tc>
          <w:tcPr>
            <w:tcW w:w="896" w:type="dxa"/>
            <w:tcBorders>
              <w:tl2br w:val="nil"/>
              <w:tr2bl w:val="nil"/>
            </w:tcBorders>
            <w:tcMar>
              <w:top w:w="0" w:type="dxa"/>
              <w:left w:w="57" w:type="dxa"/>
              <w:bottom w:w="0" w:type="dxa"/>
              <w:right w:w="57" w:type="dxa"/>
            </w:tcMar>
            <w:vAlign w:val="center"/>
          </w:tcPr>
          <w:p>
            <w:pPr>
              <w:pStyle w:val="16"/>
              <w:rPr>
                <w:rFonts w:hint="default"/>
                <w:color w:val="auto"/>
                <w:sz w:val="18"/>
                <w:szCs w:val="18"/>
              </w:rPr>
            </w:pPr>
            <w:r>
              <w:rPr>
                <w:rFonts w:hint="default"/>
                <w:color w:val="auto"/>
                <w:sz w:val="18"/>
                <w:szCs w:val="18"/>
              </w:rPr>
              <w:t>&gt;95</w:t>
            </w:r>
          </w:p>
        </w:tc>
        <w:tc>
          <w:tcPr>
            <w:tcW w:w="896" w:type="dxa"/>
            <w:tcBorders>
              <w:tl2br w:val="nil"/>
              <w:tr2bl w:val="nil"/>
            </w:tcBorders>
            <w:vAlign w:val="center"/>
          </w:tcPr>
          <w:p>
            <w:pPr>
              <w:spacing w:line="240" w:lineRule="auto"/>
              <w:ind w:firstLine="0" w:firstLineChars="0"/>
              <w:jc w:val="center"/>
              <w:rPr>
                <w:rFonts w:hint="default" w:ascii="Times New Roman" w:hAnsi="Times New Roman" w:eastAsia="黑体" w:cs="Times New Roman"/>
                <w:color w:val="auto"/>
                <w:sz w:val="18"/>
                <w:szCs w:val="18"/>
                <w:lang w:val="en-US" w:eastAsia="zh-CN"/>
              </w:rPr>
            </w:pPr>
            <w:r>
              <w:rPr>
                <w:rFonts w:ascii="Times New Roman" w:hAnsi="Times New Roman"/>
                <w:color w:val="auto"/>
                <w:sz w:val="21"/>
                <w:szCs w:val="21"/>
              </w:rPr>
              <w:t>99</w:t>
            </w:r>
          </w:p>
        </w:tc>
        <w:tc>
          <w:tcPr>
            <w:tcW w:w="1433" w:type="dxa"/>
            <w:gridSpan w:val="4"/>
            <w:tcBorders>
              <w:tl2br w:val="nil"/>
              <w:tr2bl w:val="nil"/>
            </w:tcBorders>
            <w:vAlign w:val="center"/>
          </w:tcPr>
          <w:p>
            <w:pPr>
              <w:pStyle w:val="16"/>
              <w:rPr>
                <w:rFonts w:hint="default"/>
                <w:color w:val="auto"/>
                <w:sz w:val="18"/>
                <w:szCs w:val="18"/>
              </w:rPr>
            </w:pPr>
            <w:r>
              <w:rPr>
                <w:rFonts w:hint="default"/>
                <w:color w:val="auto"/>
                <w:sz w:val="18"/>
                <w:szCs w:val="18"/>
              </w:rPr>
              <w:t>植物措施面积</w:t>
            </w:r>
          </w:p>
        </w:tc>
        <w:tc>
          <w:tcPr>
            <w:tcW w:w="950" w:type="dxa"/>
            <w:gridSpan w:val="2"/>
            <w:tcBorders>
              <w:tl2br w:val="nil"/>
              <w:tr2bl w:val="nil"/>
            </w:tcBorders>
            <w:vAlign w:val="center"/>
          </w:tcPr>
          <w:p>
            <w:pPr>
              <w:pStyle w:val="16"/>
              <w:rPr>
                <w:rFonts w:hint="default"/>
                <w:color w:val="auto"/>
                <w:sz w:val="18"/>
                <w:szCs w:val="18"/>
              </w:rPr>
            </w:pPr>
            <w:r>
              <w:rPr>
                <w:rFonts w:hint="eastAsia"/>
                <w:color w:val="auto"/>
                <w:sz w:val="18"/>
                <w:szCs w:val="18"/>
                <w:lang w:val="en-US" w:eastAsia="zh-CN"/>
              </w:rPr>
              <w:t>1.48</w:t>
            </w:r>
            <w:r>
              <w:rPr>
                <w:rFonts w:hint="default"/>
                <w:color w:val="auto"/>
                <w:sz w:val="18"/>
                <w:szCs w:val="18"/>
              </w:rPr>
              <w:t>hm²</w:t>
            </w:r>
          </w:p>
        </w:tc>
        <w:tc>
          <w:tcPr>
            <w:tcW w:w="1079" w:type="dxa"/>
            <w:gridSpan w:val="2"/>
            <w:tcBorders>
              <w:tl2br w:val="nil"/>
              <w:tr2bl w:val="nil"/>
            </w:tcBorders>
            <w:vAlign w:val="center"/>
          </w:tcPr>
          <w:p>
            <w:pPr>
              <w:pStyle w:val="16"/>
              <w:rPr>
                <w:rFonts w:hint="default"/>
                <w:color w:val="auto"/>
                <w:sz w:val="18"/>
                <w:szCs w:val="18"/>
              </w:rPr>
            </w:pPr>
            <w:r>
              <w:rPr>
                <w:rFonts w:hint="default"/>
                <w:color w:val="auto"/>
                <w:sz w:val="18"/>
                <w:szCs w:val="18"/>
              </w:rPr>
              <w:t>监测土壤</w:t>
            </w:r>
          </w:p>
          <w:p>
            <w:pPr>
              <w:pStyle w:val="16"/>
              <w:rPr>
                <w:rFonts w:hint="default"/>
                <w:color w:val="auto"/>
                <w:sz w:val="18"/>
                <w:szCs w:val="18"/>
              </w:rPr>
            </w:pPr>
            <w:r>
              <w:rPr>
                <w:rFonts w:hint="default"/>
                <w:color w:val="auto"/>
                <w:sz w:val="18"/>
                <w:szCs w:val="18"/>
              </w:rPr>
              <w:t>流失情况</w:t>
            </w:r>
          </w:p>
        </w:tc>
        <w:tc>
          <w:tcPr>
            <w:tcW w:w="1351" w:type="dxa"/>
            <w:gridSpan w:val="2"/>
            <w:tcBorders>
              <w:tl2br w:val="nil"/>
              <w:tr2bl w:val="nil"/>
            </w:tcBorders>
            <w:vAlign w:val="center"/>
          </w:tcPr>
          <w:p>
            <w:pPr>
              <w:pStyle w:val="16"/>
              <w:rPr>
                <w:rFonts w:hint="default"/>
                <w:color w:val="auto"/>
                <w:sz w:val="18"/>
                <w:szCs w:val="18"/>
              </w:rPr>
            </w:pPr>
            <w:r>
              <w:rPr>
                <w:rFonts w:hint="eastAsia"/>
                <w:color w:val="auto"/>
                <w:sz w:val="18"/>
                <w:szCs w:val="18"/>
                <w:lang w:val="en-US" w:eastAsia="zh-CN"/>
              </w:rPr>
              <w:t>350</w:t>
            </w:r>
            <w:r>
              <w:rPr>
                <w:rFonts w:hint="default"/>
                <w:color w:val="auto"/>
                <w:sz w:val="18"/>
                <w:szCs w:val="18"/>
              </w:rPr>
              <w:t>t/k</w:t>
            </w:r>
            <w:r>
              <w:rPr>
                <w:rFonts w:hint="eastAsia"/>
                <w:color w:val="auto"/>
                <w:sz w:val="18"/>
                <w:szCs w:val="18"/>
                <w:lang w:eastAsia="zh-CN"/>
              </w:rPr>
              <w:t>m</w:t>
            </w:r>
            <w:r>
              <w:rPr>
                <w:rFonts w:hint="eastAsia"/>
                <w:color w:val="auto"/>
                <w:sz w:val="18"/>
                <w:szCs w:val="18"/>
                <w:vertAlign w:val="superscript"/>
                <w:lang w:val="en-US" w:eastAsia="zh-CN"/>
              </w:rPr>
              <w:t>2</w:t>
            </w:r>
            <w:r>
              <w:rPr>
                <w:rFonts w:hint="default"/>
                <w:color w:val="auto"/>
                <w:sz w:val="18"/>
                <w:szCs w:val="18"/>
              </w:rPr>
              <w:t>·a</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340" w:hRule="atLeast"/>
          <w:jc w:val="center"/>
        </w:trPr>
        <w:tc>
          <w:tcPr>
            <w:tcW w:w="460" w:type="dxa"/>
            <w:vMerge w:val="continue"/>
            <w:tcBorders>
              <w:tl2br w:val="nil"/>
              <w:tr2bl w:val="nil"/>
            </w:tcBorders>
            <w:vAlign w:val="center"/>
          </w:tcPr>
          <w:p>
            <w:pPr>
              <w:pStyle w:val="16"/>
              <w:rPr>
                <w:rFonts w:hint="default"/>
                <w:color w:val="auto"/>
                <w:sz w:val="18"/>
                <w:szCs w:val="18"/>
              </w:rPr>
            </w:pPr>
          </w:p>
        </w:tc>
        <w:tc>
          <w:tcPr>
            <w:tcW w:w="460" w:type="dxa"/>
            <w:vMerge w:val="continue"/>
            <w:tcBorders>
              <w:tl2br w:val="nil"/>
              <w:tr2bl w:val="nil"/>
            </w:tcBorders>
            <w:vAlign w:val="center"/>
          </w:tcPr>
          <w:p>
            <w:pPr>
              <w:pStyle w:val="16"/>
              <w:rPr>
                <w:rFonts w:hint="default"/>
                <w:color w:val="auto"/>
                <w:sz w:val="18"/>
                <w:szCs w:val="18"/>
              </w:rPr>
            </w:pPr>
          </w:p>
        </w:tc>
        <w:tc>
          <w:tcPr>
            <w:tcW w:w="896" w:type="dxa"/>
            <w:tcBorders>
              <w:tl2br w:val="nil"/>
              <w:tr2bl w:val="nil"/>
            </w:tcBorders>
            <w:vAlign w:val="center"/>
          </w:tcPr>
          <w:p>
            <w:pPr>
              <w:pStyle w:val="16"/>
              <w:rPr>
                <w:rFonts w:hint="default"/>
                <w:color w:val="auto"/>
                <w:sz w:val="18"/>
                <w:szCs w:val="18"/>
              </w:rPr>
            </w:pPr>
            <w:r>
              <w:rPr>
                <w:rFonts w:hint="default"/>
                <w:color w:val="auto"/>
                <w:sz w:val="18"/>
                <w:szCs w:val="18"/>
              </w:rPr>
              <w:t>林草植被恢复率</w:t>
            </w:r>
          </w:p>
        </w:tc>
        <w:tc>
          <w:tcPr>
            <w:tcW w:w="896" w:type="dxa"/>
            <w:tcBorders>
              <w:tl2br w:val="nil"/>
              <w:tr2bl w:val="nil"/>
            </w:tcBorders>
            <w:tcMar>
              <w:top w:w="0" w:type="dxa"/>
              <w:left w:w="57" w:type="dxa"/>
              <w:bottom w:w="0" w:type="dxa"/>
              <w:right w:w="57" w:type="dxa"/>
            </w:tcMar>
            <w:vAlign w:val="center"/>
          </w:tcPr>
          <w:p>
            <w:pPr>
              <w:pStyle w:val="16"/>
              <w:rPr>
                <w:rFonts w:hint="default"/>
                <w:color w:val="auto"/>
                <w:sz w:val="18"/>
                <w:szCs w:val="18"/>
              </w:rPr>
            </w:pPr>
            <w:r>
              <w:rPr>
                <w:rFonts w:hint="default"/>
                <w:color w:val="auto"/>
                <w:sz w:val="18"/>
                <w:szCs w:val="18"/>
              </w:rPr>
              <w:t>&gt;99</w:t>
            </w:r>
          </w:p>
        </w:tc>
        <w:tc>
          <w:tcPr>
            <w:tcW w:w="896" w:type="dxa"/>
            <w:tcBorders>
              <w:tl2br w:val="nil"/>
              <w:tr2bl w:val="nil"/>
            </w:tcBorders>
            <w:vAlign w:val="center"/>
          </w:tcPr>
          <w:p>
            <w:pPr>
              <w:spacing w:line="240" w:lineRule="auto"/>
              <w:ind w:firstLine="0" w:firstLineChars="0"/>
              <w:jc w:val="center"/>
              <w:rPr>
                <w:rFonts w:hint="eastAsia" w:ascii="Times New Roman" w:hAnsi="Times New Roman" w:eastAsia="黑体" w:cs="Times New Roman"/>
                <w:color w:val="auto"/>
                <w:sz w:val="18"/>
                <w:szCs w:val="18"/>
                <w:lang w:val="en-US" w:eastAsia="zh-CN"/>
              </w:rPr>
            </w:pPr>
            <w:r>
              <w:rPr>
                <w:rFonts w:hint="eastAsia" w:ascii="Times New Roman" w:hAnsi="Times New Roman"/>
                <w:color w:val="auto"/>
                <w:sz w:val="21"/>
                <w:szCs w:val="21"/>
                <w:lang w:eastAsia="zh-CN"/>
              </w:rPr>
              <w:t>99.58</w:t>
            </w:r>
          </w:p>
        </w:tc>
        <w:tc>
          <w:tcPr>
            <w:tcW w:w="1433" w:type="dxa"/>
            <w:gridSpan w:val="4"/>
            <w:tcBorders>
              <w:tl2br w:val="nil"/>
              <w:tr2bl w:val="nil"/>
            </w:tcBorders>
            <w:vAlign w:val="center"/>
          </w:tcPr>
          <w:p>
            <w:pPr>
              <w:pStyle w:val="16"/>
              <w:rPr>
                <w:rFonts w:hint="default"/>
                <w:color w:val="auto"/>
                <w:sz w:val="18"/>
                <w:szCs w:val="18"/>
              </w:rPr>
            </w:pPr>
            <w:r>
              <w:rPr>
                <w:rFonts w:hint="default"/>
                <w:color w:val="auto"/>
                <w:sz w:val="18"/>
                <w:szCs w:val="18"/>
              </w:rPr>
              <w:t>可恢复林草植被面积</w:t>
            </w:r>
          </w:p>
        </w:tc>
        <w:tc>
          <w:tcPr>
            <w:tcW w:w="950" w:type="dxa"/>
            <w:gridSpan w:val="2"/>
            <w:tcBorders>
              <w:tl2br w:val="nil"/>
              <w:tr2bl w:val="nil"/>
            </w:tcBorders>
            <w:vAlign w:val="center"/>
          </w:tcPr>
          <w:p>
            <w:pPr>
              <w:pStyle w:val="16"/>
              <w:rPr>
                <w:rFonts w:hint="default"/>
                <w:color w:val="auto"/>
                <w:sz w:val="18"/>
                <w:szCs w:val="18"/>
              </w:rPr>
            </w:pPr>
            <w:r>
              <w:rPr>
                <w:rFonts w:hint="eastAsia"/>
                <w:color w:val="auto"/>
                <w:sz w:val="18"/>
                <w:szCs w:val="18"/>
                <w:lang w:val="en-US" w:eastAsia="zh-CN"/>
              </w:rPr>
              <w:t>1.18</w:t>
            </w:r>
            <w:r>
              <w:rPr>
                <w:rFonts w:hint="default"/>
                <w:color w:val="auto"/>
                <w:sz w:val="18"/>
                <w:szCs w:val="18"/>
              </w:rPr>
              <w:t>hm²</w:t>
            </w:r>
          </w:p>
        </w:tc>
        <w:tc>
          <w:tcPr>
            <w:tcW w:w="1079" w:type="dxa"/>
            <w:gridSpan w:val="2"/>
            <w:tcBorders>
              <w:tl2br w:val="nil"/>
              <w:tr2bl w:val="nil"/>
            </w:tcBorders>
            <w:vAlign w:val="center"/>
          </w:tcPr>
          <w:p>
            <w:pPr>
              <w:pStyle w:val="16"/>
              <w:rPr>
                <w:rFonts w:hint="default"/>
                <w:color w:val="auto"/>
                <w:sz w:val="18"/>
                <w:szCs w:val="18"/>
              </w:rPr>
            </w:pPr>
            <w:r>
              <w:rPr>
                <w:rFonts w:hint="default"/>
                <w:color w:val="auto"/>
                <w:sz w:val="18"/>
                <w:szCs w:val="18"/>
              </w:rPr>
              <w:t>林草类</w:t>
            </w:r>
          </w:p>
          <w:p>
            <w:pPr>
              <w:pStyle w:val="16"/>
              <w:rPr>
                <w:rFonts w:hint="default"/>
                <w:color w:val="auto"/>
                <w:sz w:val="18"/>
                <w:szCs w:val="18"/>
              </w:rPr>
            </w:pPr>
            <w:r>
              <w:rPr>
                <w:rFonts w:hint="default"/>
                <w:color w:val="auto"/>
                <w:sz w:val="18"/>
                <w:szCs w:val="18"/>
              </w:rPr>
              <w:t>植被面积</w:t>
            </w:r>
          </w:p>
        </w:tc>
        <w:tc>
          <w:tcPr>
            <w:tcW w:w="1351" w:type="dxa"/>
            <w:gridSpan w:val="2"/>
            <w:tcBorders>
              <w:tl2br w:val="nil"/>
              <w:tr2bl w:val="nil"/>
            </w:tcBorders>
            <w:vAlign w:val="center"/>
          </w:tcPr>
          <w:p>
            <w:pPr>
              <w:pStyle w:val="16"/>
              <w:rPr>
                <w:rFonts w:hint="default"/>
                <w:color w:val="auto"/>
                <w:sz w:val="18"/>
                <w:szCs w:val="18"/>
              </w:rPr>
            </w:pPr>
            <w:r>
              <w:rPr>
                <w:rFonts w:hint="eastAsia"/>
                <w:color w:val="auto"/>
                <w:sz w:val="18"/>
                <w:szCs w:val="18"/>
                <w:lang w:val="en-US" w:eastAsia="zh-CN"/>
              </w:rPr>
              <w:t>1.58</w:t>
            </w:r>
            <w:r>
              <w:rPr>
                <w:rFonts w:hint="default"/>
                <w:color w:val="auto"/>
                <w:sz w:val="18"/>
                <w:szCs w:val="18"/>
              </w:rPr>
              <w:t>hm²</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340" w:hRule="atLeast"/>
          <w:jc w:val="center"/>
        </w:trPr>
        <w:tc>
          <w:tcPr>
            <w:tcW w:w="460" w:type="dxa"/>
            <w:vMerge w:val="continue"/>
            <w:tcBorders>
              <w:tl2br w:val="nil"/>
              <w:tr2bl w:val="nil"/>
            </w:tcBorders>
            <w:vAlign w:val="center"/>
          </w:tcPr>
          <w:p>
            <w:pPr>
              <w:pStyle w:val="16"/>
              <w:rPr>
                <w:rFonts w:hint="default"/>
                <w:color w:val="auto"/>
                <w:sz w:val="18"/>
                <w:szCs w:val="18"/>
              </w:rPr>
            </w:pPr>
          </w:p>
        </w:tc>
        <w:tc>
          <w:tcPr>
            <w:tcW w:w="460" w:type="dxa"/>
            <w:vMerge w:val="continue"/>
            <w:tcBorders>
              <w:tl2br w:val="nil"/>
              <w:tr2bl w:val="nil"/>
            </w:tcBorders>
            <w:vAlign w:val="center"/>
          </w:tcPr>
          <w:p>
            <w:pPr>
              <w:pStyle w:val="16"/>
              <w:rPr>
                <w:rFonts w:hint="default"/>
                <w:color w:val="auto"/>
                <w:sz w:val="18"/>
                <w:szCs w:val="18"/>
              </w:rPr>
            </w:pPr>
          </w:p>
        </w:tc>
        <w:tc>
          <w:tcPr>
            <w:tcW w:w="896" w:type="dxa"/>
            <w:tcBorders>
              <w:tl2br w:val="nil"/>
              <w:tr2bl w:val="nil"/>
            </w:tcBorders>
            <w:vAlign w:val="center"/>
          </w:tcPr>
          <w:p>
            <w:pPr>
              <w:pStyle w:val="16"/>
              <w:rPr>
                <w:rFonts w:hint="default"/>
                <w:color w:val="auto"/>
                <w:sz w:val="18"/>
                <w:szCs w:val="18"/>
              </w:rPr>
            </w:pPr>
            <w:r>
              <w:rPr>
                <w:rFonts w:hint="default"/>
                <w:color w:val="auto"/>
                <w:sz w:val="18"/>
                <w:szCs w:val="18"/>
              </w:rPr>
              <w:t>林草覆盖率</w:t>
            </w:r>
          </w:p>
        </w:tc>
        <w:tc>
          <w:tcPr>
            <w:tcW w:w="896" w:type="dxa"/>
            <w:tcBorders>
              <w:tl2br w:val="nil"/>
              <w:tr2bl w:val="nil"/>
            </w:tcBorders>
            <w:tcMar>
              <w:top w:w="0" w:type="dxa"/>
              <w:left w:w="57" w:type="dxa"/>
              <w:bottom w:w="0" w:type="dxa"/>
              <w:right w:w="57" w:type="dxa"/>
            </w:tcMar>
            <w:vAlign w:val="center"/>
          </w:tcPr>
          <w:p>
            <w:pPr>
              <w:pStyle w:val="16"/>
              <w:rPr>
                <w:rFonts w:hint="default"/>
                <w:color w:val="auto"/>
                <w:sz w:val="18"/>
                <w:szCs w:val="18"/>
              </w:rPr>
            </w:pPr>
            <w:r>
              <w:rPr>
                <w:rFonts w:hint="default"/>
                <w:color w:val="auto"/>
                <w:sz w:val="18"/>
                <w:szCs w:val="18"/>
              </w:rPr>
              <w:t>&gt;27</w:t>
            </w:r>
          </w:p>
        </w:tc>
        <w:tc>
          <w:tcPr>
            <w:tcW w:w="896" w:type="dxa"/>
            <w:tcBorders>
              <w:tl2br w:val="nil"/>
              <w:tr2bl w:val="nil"/>
            </w:tcBorders>
            <w:vAlign w:val="center"/>
          </w:tcPr>
          <w:p>
            <w:pPr>
              <w:spacing w:line="240" w:lineRule="auto"/>
              <w:ind w:firstLine="0" w:firstLineChars="0"/>
              <w:jc w:val="center"/>
              <w:rPr>
                <w:rFonts w:hint="eastAsia" w:ascii="Times New Roman" w:hAnsi="Times New Roman" w:eastAsia="黑体" w:cs="Times New Roman"/>
                <w:color w:val="auto"/>
                <w:sz w:val="18"/>
                <w:szCs w:val="18"/>
                <w:lang w:val="en-US" w:eastAsia="zh-CN"/>
              </w:rPr>
            </w:pPr>
            <w:r>
              <w:rPr>
                <w:rFonts w:hint="eastAsia" w:ascii="Times New Roman" w:hAnsi="Times New Roman"/>
                <w:color w:val="auto"/>
                <w:sz w:val="21"/>
                <w:szCs w:val="21"/>
                <w:lang w:eastAsia="zh-CN"/>
              </w:rPr>
              <w:t>29.10</w:t>
            </w:r>
          </w:p>
        </w:tc>
        <w:tc>
          <w:tcPr>
            <w:tcW w:w="1433" w:type="dxa"/>
            <w:gridSpan w:val="4"/>
            <w:tcBorders>
              <w:tl2br w:val="nil"/>
              <w:tr2bl w:val="nil"/>
            </w:tcBorders>
            <w:vAlign w:val="center"/>
          </w:tcPr>
          <w:p>
            <w:pPr>
              <w:pStyle w:val="16"/>
              <w:rPr>
                <w:rFonts w:hint="default"/>
                <w:color w:val="auto"/>
                <w:sz w:val="18"/>
                <w:szCs w:val="18"/>
              </w:rPr>
            </w:pPr>
            <w:r>
              <w:rPr>
                <w:rFonts w:hint="default"/>
                <w:color w:val="auto"/>
                <w:sz w:val="18"/>
                <w:szCs w:val="18"/>
              </w:rPr>
              <w:t>实际拦挡弃土（石、渣）量</w:t>
            </w:r>
          </w:p>
        </w:tc>
        <w:tc>
          <w:tcPr>
            <w:tcW w:w="950" w:type="dxa"/>
            <w:gridSpan w:val="2"/>
            <w:tcBorders>
              <w:tl2br w:val="nil"/>
              <w:tr2bl w:val="nil"/>
            </w:tcBorders>
            <w:vAlign w:val="center"/>
          </w:tcPr>
          <w:p>
            <w:pPr>
              <w:pStyle w:val="16"/>
              <w:rPr>
                <w:rFonts w:hint="default"/>
                <w:color w:val="auto"/>
                <w:sz w:val="18"/>
                <w:szCs w:val="18"/>
              </w:rPr>
            </w:pPr>
            <w:r>
              <w:rPr>
                <w:rFonts w:hint="default"/>
                <w:color w:val="auto"/>
                <w:sz w:val="18"/>
                <w:szCs w:val="18"/>
              </w:rPr>
              <w:t>18.56万m³</w:t>
            </w:r>
          </w:p>
        </w:tc>
        <w:tc>
          <w:tcPr>
            <w:tcW w:w="1079" w:type="dxa"/>
            <w:gridSpan w:val="2"/>
            <w:tcBorders>
              <w:tl2br w:val="nil"/>
              <w:tr2bl w:val="nil"/>
            </w:tcBorders>
            <w:vAlign w:val="center"/>
          </w:tcPr>
          <w:p>
            <w:pPr>
              <w:pStyle w:val="16"/>
              <w:rPr>
                <w:rFonts w:hint="default"/>
                <w:color w:val="auto"/>
                <w:sz w:val="18"/>
                <w:szCs w:val="18"/>
              </w:rPr>
            </w:pPr>
            <w:r>
              <w:rPr>
                <w:rFonts w:hint="default"/>
                <w:color w:val="auto"/>
                <w:sz w:val="18"/>
                <w:szCs w:val="18"/>
              </w:rPr>
              <w:t>总弃土（石、渣）量</w:t>
            </w:r>
          </w:p>
        </w:tc>
        <w:tc>
          <w:tcPr>
            <w:tcW w:w="1351" w:type="dxa"/>
            <w:gridSpan w:val="2"/>
            <w:tcBorders>
              <w:tl2br w:val="nil"/>
              <w:tr2bl w:val="nil"/>
            </w:tcBorders>
            <w:vAlign w:val="center"/>
          </w:tcPr>
          <w:p>
            <w:pPr>
              <w:pStyle w:val="16"/>
              <w:rPr>
                <w:rFonts w:hint="default"/>
                <w:color w:val="auto"/>
                <w:sz w:val="18"/>
                <w:szCs w:val="18"/>
              </w:rPr>
            </w:pPr>
            <w:r>
              <w:rPr>
                <w:rFonts w:hint="default"/>
                <w:color w:val="auto"/>
                <w:sz w:val="18"/>
                <w:szCs w:val="18"/>
              </w:rPr>
              <w:t>9.66万m³</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340" w:hRule="atLeast"/>
          <w:jc w:val="center"/>
        </w:trPr>
        <w:tc>
          <w:tcPr>
            <w:tcW w:w="460" w:type="dxa"/>
            <w:vMerge w:val="continue"/>
            <w:tcBorders>
              <w:tl2br w:val="nil"/>
              <w:tr2bl w:val="nil"/>
            </w:tcBorders>
            <w:vAlign w:val="center"/>
          </w:tcPr>
          <w:p>
            <w:pPr>
              <w:pStyle w:val="16"/>
              <w:rPr>
                <w:rFonts w:hint="default"/>
                <w:color w:val="auto"/>
                <w:sz w:val="18"/>
                <w:szCs w:val="18"/>
              </w:rPr>
            </w:pPr>
          </w:p>
        </w:tc>
        <w:tc>
          <w:tcPr>
            <w:tcW w:w="1356" w:type="dxa"/>
            <w:gridSpan w:val="2"/>
            <w:tcBorders>
              <w:tl2br w:val="nil"/>
              <w:tr2bl w:val="nil"/>
            </w:tcBorders>
            <w:vAlign w:val="center"/>
          </w:tcPr>
          <w:p>
            <w:pPr>
              <w:pStyle w:val="16"/>
              <w:rPr>
                <w:rFonts w:hint="default"/>
                <w:color w:val="auto"/>
                <w:sz w:val="18"/>
                <w:szCs w:val="18"/>
              </w:rPr>
            </w:pPr>
            <w:r>
              <w:rPr>
                <w:rFonts w:hint="default"/>
                <w:color w:val="auto"/>
                <w:sz w:val="18"/>
                <w:szCs w:val="18"/>
              </w:rPr>
              <w:t>水土保持治理达标评价</w:t>
            </w:r>
          </w:p>
        </w:tc>
        <w:tc>
          <w:tcPr>
            <w:tcW w:w="6605" w:type="dxa"/>
            <w:gridSpan w:val="12"/>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360" w:firstLineChars="200"/>
              <w:jc w:val="left"/>
              <w:textAlignment w:val="auto"/>
              <w:outlineLvl w:val="9"/>
              <w:rPr>
                <w:rFonts w:hint="default"/>
                <w:color w:val="auto"/>
                <w:sz w:val="18"/>
                <w:szCs w:val="18"/>
              </w:rPr>
            </w:pPr>
            <w:r>
              <w:rPr>
                <w:rFonts w:hint="default"/>
                <w:color w:val="auto"/>
                <w:sz w:val="18"/>
                <w:szCs w:val="18"/>
              </w:rPr>
              <w:t>截止至20</w:t>
            </w:r>
            <w:r>
              <w:rPr>
                <w:rFonts w:hint="eastAsia"/>
                <w:color w:val="auto"/>
                <w:sz w:val="18"/>
                <w:szCs w:val="18"/>
                <w:lang w:val="en-US" w:eastAsia="zh-CN"/>
              </w:rPr>
              <w:t>20</w:t>
            </w:r>
            <w:r>
              <w:rPr>
                <w:rFonts w:hint="default"/>
                <w:color w:val="auto"/>
                <w:sz w:val="18"/>
                <w:szCs w:val="18"/>
              </w:rPr>
              <w:t>年</w:t>
            </w:r>
            <w:r>
              <w:rPr>
                <w:rFonts w:hint="eastAsia"/>
                <w:color w:val="auto"/>
                <w:sz w:val="18"/>
                <w:szCs w:val="18"/>
                <w:lang w:val="en-US" w:eastAsia="zh-CN"/>
              </w:rPr>
              <w:t>10</w:t>
            </w:r>
            <w:r>
              <w:rPr>
                <w:rFonts w:hint="default"/>
                <w:color w:val="auto"/>
                <w:sz w:val="18"/>
                <w:szCs w:val="18"/>
              </w:rPr>
              <w:t>月，六项指标</w:t>
            </w:r>
            <w:r>
              <w:rPr>
                <w:rFonts w:hint="eastAsia"/>
                <w:color w:val="auto"/>
                <w:sz w:val="18"/>
                <w:szCs w:val="18"/>
                <w:lang w:eastAsia="zh-CN"/>
              </w:rPr>
              <w:t>全部</w:t>
            </w:r>
            <w:r>
              <w:rPr>
                <w:rFonts w:hint="default"/>
                <w:color w:val="auto"/>
                <w:sz w:val="18"/>
                <w:szCs w:val="18"/>
              </w:rPr>
              <w:t>达到并超过《开发建设项目水土流失防治标准》（GB50434-2008）中建设类一级标准目标值。</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340" w:hRule="atLeast"/>
          <w:jc w:val="center"/>
        </w:trPr>
        <w:tc>
          <w:tcPr>
            <w:tcW w:w="460" w:type="dxa"/>
            <w:vMerge w:val="continue"/>
            <w:tcBorders>
              <w:tl2br w:val="nil"/>
              <w:tr2bl w:val="nil"/>
            </w:tcBorders>
            <w:vAlign w:val="center"/>
          </w:tcPr>
          <w:p>
            <w:pPr>
              <w:pStyle w:val="16"/>
              <w:rPr>
                <w:rFonts w:hint="default"/>
                <w:color w:val="auto"/>
                <w:sz w:val="18"/>
                <w:szCs w:val="18"/>
              </w:rPr>
            </w:pPr>
          </w:p>
        </w:tc>
        <w:tc>
          <w:tcPr>
            <w:tcW w:w="1356" w:type="dxa"/>
            <w:gridSpan w:val="2"/>
            <w:tcBorders>
              <w:tl2br w:val="nil"/>
              <w:tr2bl w:val="nil"/>
            </w:tcBorders>
            <w:vAlign w:val="center"/>
          </w:tcPr>
          <w:p>
            <w:pPr>
              <w:pStyle w:val="16"/>
              <w:rPr>
                <w:rFonts w:hint="default"/>
                <w:color w:val="auto"/>
                <w:sz w:val="18"/>
                <w:szCs w:val="18"/>
              </w:rPr>
            </w:pPr>
            <w:r>
              <w:rPr>
                <w:rFonts w:hint="default"/>
                <w:color w:val="auto"/>
                <w:sz w:val="18"/>
                <w:szCs w:val="18"/>
              </w:rPr>
              <w:t>总体结论</w:t>
            </w:r>
          </w:p>
        </w:tc>
        <w:tc>
          <w:tcPr>
            <w:tcW w:w="6605" w:type="dxa"/>
            <w:gridSpan w:val="12"/>
            <w:tcBorders>
              <w:tl2br w:val="nil"/>
              <w:tr2bl w:val="nil"/>
            </w:tcBorders>
            <w:tcMar>
              <w:top w:w="0" w:type="dxa"/>
              <w:left w:w="57" w:type="dxa"/>
              <w:bottom w:w="0" w:type="dxa"/>
              <w:right w:w="57" w:type="dxa"/>
            </w:tcMar>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360" w:firstLineChars="200"/>
              <w:jc w:val="left"/>
              <w:textAlignment w:val="auto"/>
              <w:outlineLvl w:val="9"/>
              <w:rPr>
                <w:rFonts w:hint="default"/>
                <w:color w:val="auto"/>
                <w:sz w:val="18"/>
                <w:szCs w:val="18"/>
              </w:rPr>
            </w:pPr>
            <w:r>
              <w:rPr>
                <w:rFonts w:hint="default"/>
                <w:color w:val="auto"/>
                <w:sz w:val="18"/>
                <w:szCs w:val="18"/>
              </w:rPr>
              <w:t>水土保持措施的总体布局较为合理，防治效果明显，有效地减少了项目建设过程中造成的水土流失，基本达到了</w:t>
            </w:r>
            <w:r>
              <w:rPr>
                <w:rFonts w:hint="default"/>
                <w:color w:val="auto"/>
                <w:sz w:val="18"/>
                <w:szCs w:val="18"/>
                <w:lang w:eastAsia="zh-CN"/>
              </w:rPr>
              <w:t>《</w:t>
            </w:r>
            <w:r>
              <w:rPr>
                <w:rFonts w:hint="eastAsia"/>
                <w:color w:val="auto"/>
                <w:sz w:val="18"/>
                <w:szCs w:val="18"/>
                <w:lang w:eastAsia="zh-CN"/>
              </w:rPr>
              <w:t>G320线普安江西坡至三板桥段改扩建工程（县城段）</w:t>
            </w:r>
            <w:r>
              <w:rPr>
                <w:rFonts w:hint="default"/>
                <w:color w:val="auto"/>
                <w:sz w:val="18"/>
                <w:szCs w:val="18"/>
                <w:lang w:eastAsia="zh-CN"/>
              </w:rPr>
              <w:t>水土保持方案报告书》（报批稿）</w:t>
            </w:r>
            <w:r>
              <w:rPr>
                <w:rFonts w:hint="default"/>
                <w:color w:val="auto"/>
                <w:sz w:val="18"/>
                <w:szCs w:val="18"/>
              </w:rPr>
              <w:t>的设计要求。</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340" w:hRule="atLeast"/>
          <w:jc w:val="center"/>
        </w:trPr>
        <w:tc>
          <w:tcPr>
            <w:tcW w:w="1816" w:type="dxa"/>
            <w:gridSpan w:val="3"/>
            <w:tcBorders>
              <w:tl2br w:val="nil"/>
              <w:tr2bl w:val="nil"/>
            </w:tcBorders>
            <w:vAlign w:val="center"/>
          </w:tcPr>
          <w:p>
            <w:pPr>
              <w:pStyle w:val="16"/>
              <w:rPr>
                <w:rFonts w:hint="default"/>
                <w:color w:val="auto"/>
                <w:sz w:val="18"/>
                <w:szCs w:val="18"/>
              </w:rPr>
            </w:pPr>
            <w:r>
              <w:rPr>
                <w:rFonts w:hint="default"/>
                <w:color w:val="auto"/>
                <w:sz w:val="18"/>
                <w:szCs w:val="18"/>
              </w:rPr>
              <w:t>主要建议</w:t>
            </w:r>
          </w:p>
        </w:tc>
        <w:tc>
          <w:tcPr>
            <w:tcW w:w="6605" w:type="dxa"/>
            <w:gridSpan w:val="12"/>
            <w:tcBorders>
              <w:tl2br w:val="nil"/>
              <w:tr2bl w:val="nil"/>
            </w:tcBorders>
            <w:tcMar>
              <w:top w:w="0" w:type="dxa"/>
              <w:left w:w="57" w:type="dxa"/>
              <w:bottom w:w="0" w:type="dxa"/>
              <w:right w:w="57" w:type="dxa"/>
            </w:tcMar>
            <w:vAlign w:val="center"/>
          </w:tcPr>
          <w:p>
            <w:pPr>
              <w:pStyle w:val="16"/>
              <w:jc w:val="left"/>
              <w:rPr>
                <w:rFonts w:hint="default"/>
                <w:color w:val="auto"/>
                <w:szCs w:val="18"/>
              </w:rPr>
            </w:pPr>
            <w:r>
              <w:rPr>
                <w:rFonts w:hint="default"/>
                <w:color w:val="auto"/>
                <w:szCs w:val="18"/>
              </w:rPr>
              <w:t>（1）相对于主体工程建设进度而言，相当一部分水土保持措施实施 进度相对滞后，离水土保持“三同时”制度要求还有一定差距，建议建设单位在以后的工程建设活动中认真落实水土保持“三同时”制度，做好项目建设过程中的水土流失防治工作。</w:t>
            </w:r>
          </w:p>
          <w:p>
            <w:pPr>
              <w:pStyle w:val="16"/>
              <w:jc w:val="left"/>
              <w:rPr>
                <w:rFonts w:hint="default"/>
                <w:color w:val="auto"/>
                <w:szCs w:val="18"/>
              </w:rPr>
            </w:pPr>
            <w:r>
              <w:rPr>
                <w:rFonts w:hint="default"/>
                <w:color w:val="auto"/>
                <w:szCs w:val="18"/>
              </w:rPr>
              <w:t>（</w:t>
            </w:r>
            <w:r>
              <w:rPr>
                <w:rFonts w:hint="default"/>
                <w:color w:val="auto"/>
                <w:szCs w:val="18"/>
                <w:lang w:val="en-US" w:eastAsia="zh-CN"/>
              </w:rPr>
              <w:t>2</w:t>
            </w:r>
            <w:r>
              <w:rPr>
                <w:rFonts w:hint="default"/>
                <w:color w:val="auto"/>
                <w:szCs w:val="18"/>
              </w:rPr>
              <w:t>）水土保持措施在项目运行期间容易损坏，建议项目业主认真落实管护措施，并定期对排水沟进行清淤；对已破坏的植物措施应及时进行补植补种。</w:t>
            </w:r>
          </w:p>
        </w:tc>
      </w:tr>
    </w:tbl>
    <w:p>
      <w:pPr>
        <w:ind w:left="0" w:leftChars="0" w:firstLine="0" w:firstLineChars="0"/>
        <w:rPr>
          <w:rFonts w:hint="default" w:ascii="Times New Roman" w:hAnsi="Times New Roman" w:eastAsia="宋体" w:cs="Times New Roman"/>
          <w:color w:val="auto"/>
        </w:rPr>
        <w:sectPr>
          <w:headerReference r:id="rId5" w:type="default"/>
          <w:footerReference r:id="rId6" w:type="default"/>
          <w:pgSz w:w="11906" w:h="16838"/>
          <w:pgMar w:top="851" w:right="1418" w:bottom="851" w:left="1701" w:header="851" w:footer="992" w:gutter="0"/>
          <w:pgBorders>
            <w:top w:val="none" w:sz="0" w:space="0"/>
            <w:left w:val="none" w:sz="0" w:space="0"/>
            <w:bottom w:val="none" w:sz="0" w:space="0"/>
            <w:right w:val="none" w:sz="0" w:space="0"/>
          </w:pgBorders>
          <w:pgNumType w:fmt="decimal"/>
          <w:cols w:space="720" w:num="1"/>
          <w:docGrid w:linePitch="326" w:charSpace="0"/>
        </w:sectPr>
      </w:pPr>
    </w:p>
    <w:p>
      <w:pPr>
        <w:pStyle w:val="2"/>
        <w:rPr>
          <w:rFonts w:hint="default"/>
          <w:color w:val="auto"/>
        </w:rPr>
      </w:pPr>
      <w:bookmarkStart w:id="0" w:name="_Toc739"/>
      <w:bookmarkStart w:id="1" w:name="_Toc400529658"/>
      <w:bookmarkStart w:id="2" w:name="_Toc371174590"/>
      <w:bookmarkStart w:id="3" w:name="_Toc400530759"/>
      <w:r>
        <w:rPr>
          <w:rStyle w:val="15"/>
          <w:rFonts w:hint="default"/>
          <w:b/>
          <w:color w:val="auto"/>
        </w:rPr>
        <w:t>1 建设项目及水土保持工作概况</w:t>
      </w:r>
      <w:bookmarkEnd w:id="0"/>
      <w:bookmarkEnd w:id="1"/>
      <w:bookmarkEnd w:id="2"/>
      <w:bookmarkEnd w:id="3"/>
      <w:r>
        <w:rPr>
          <w:rStyle w:val="15"/>
          <w:rFonts w:hint="default"/>
          <w:b/>
          <w:color w:val="auto"/>
        </w:rPr>
        <w:t xml:space="preserve"> </w:t>
      </w:r>
      <w:r>
        <w:rPr>
          <w:rFonts w:hint="default"/>
          <w:color w:val="auto"/>
        </w:rPr>
        <w:t xml:space="preserve">                                                                                                                                                                                                                                                                                                                                                                                                                                                                                                                                                                                                                                                                                                                                                                                                                                                                                                                                                                                                                                                                                                                                                                                                                                                                                                                                                                                                                                                                                                                                                                                                                                                                                                                                                                                                                                                                                                                                                                                                                                                                                                                                                                                                                                                                                                                                                                                                                                                                                                                                                                                                                                                                                                                                                                                                                                                                                                                                                                                                                                                                                                                                                                                                                                                                                                                                                                                                                                                                                                                                                                                                                                                                                                                                                                                                                                                                                                                                                                                                                                                                                                                                                                                                                </w:t>
      </w:r>
      <w:r>
        <w:rPr>
          <w:rFonts w:hint="default"/>
          <w:color w:val="auto"/>
        </w:rPr>
        <w:t xml:space="preserve">                                                                                                                                                                                                                                                                                                                                                                                                                                                                                                                                                                                                                                                                                                                                                                                                                                                                                                                                                                                                                                                                                                                                                                                                                                                                                                                                                                                                                                                                                                                                                                                                                                                                                                                                                                                                                                                                                                                                                                                                                                                                                                                                                                                                                                                                                                                                                                                                                                                                                                                                                                                                                                                                                                                                                                                                                                                                                                                                                                                                                                                                                                                                                                                                                                                                                                                                                                                                                                                                                                                                                                                                                                                                                                                                                                                                                                                                                                                                                                                                                                                                                                                                                                                                                </w:t>
      </w:r>
      <w:r>
        <w:rPr>
          <w:rFonts w:hint="default"/>
          <w:color w:val="auto"/>
        </w:rPr>
        <w:t xml:space="preserve">                                                                                                                                                                                                                                                                                                                                                                                                                                                                                                                                                                                                                                                                                                                                                                                                                                                                                                                                                                                                                                                                                                                                                                                                                                                                                                                                                                                                                                                                                                                                                                                                                                                                                                                                                                                                                                                                                                                                                                                                                                                                                                                                                                                                                                                                                                                                                                                                                                                                                                                                                                                                                                                                                                                                                                                                                                                                                                                                                                                                                                                                                                                                                                                                                                                                                                                                                                                                                                                                                                                                                                                                                                                                                                                                                                                                                                                                                                                 </w:t>
      </w:r>
    </w:p>
    <w:p>
      <w:pPr>
        <w:pStyle w:val="3"/>
        <w:rPr>
          <w:rFonts w:hint="default"/>
          <w:color w:val="auto"/>
        </w:rPr>
      </w:pPr>
      <w:bookmarkStart w:id="4" w:name="_Toc20899"/>
      <w:bookmarkStart w:id="5" w:name="_Toc371174591"/>
      <w:bookmarkStart w:id="6" w:name="_Toc400530760"/>
      <w:bookmarkStart w:id="7" w:name="_Toc400529659"/>
      <w:r>
        <w:rPr>
          <w:rFonts w:hint="default"/>
          <w:color w:val="auto"/>
        </w:rPr>
        <w:t>1.1项目概况</w:t>
      </w:r>
      <w:bookmarkEnd w:id="4"/>
      <w:bookmarkEnd w:id="5"/>
      <w:bookmarkEnd w:id="6"/>
      <w:bookmarkEnd w:id="7"/>
    </w:p>
    <w:p>
      <w:pPr>
        <w:pStyle w:val="4"/>
        <w:rPr>
          <w:rFonts w:hint="default"/>
          <w:color w:val="auto"/>
        </w:rPr>
      </w:pPr>
      <w:bookmarkStart w:id="8" w:name="_Toc371174592"/>
      <w:bookmarkStart w:id="9" w:name="_Toc400530761"/>
      <w:bookmarkStart w:id="10" w:name="_Toc400529660"/>
      <w:r>
        <w:rPr>
          <w:rFonts w:hint="default"/>
          <w:color w:val="auto"/>
        </w:rPr>
        <w:t>1.1.1地理位置</w:t>
      </w:r>
      <w:bookmarkEnd w:id="8"/>
      <w:bookmarkEnd w:id="9"/>
      <w:bookmarkEnd w:id="10"/>
    </w:p>
    <w:p>
      <w:pPr>
        <w:autoSpaceDE w:val="0"/>
        <w:autoSpaceDN w:val="0"/>
        <w:spacing w:line="360" w:lineRule="auto"/>
        <w:ind w:firstLine="560"/>
        <w:rPr>
          <w:rFonts w:hint="default" w:ascii="Times New Roman" w:hAnsi="Times New Roman" w:eastAsia="仿宋_GB2312" w:cs="Times New Roman"/>
          <w:color w:val="auto"/>
          <w:spacing w:val="0"/>
          <w:sz w:val="24"/>
          <w:szCs w:val="28"/>
        </w:rPr>
      </w:pPr>
      <w:r>
        <w:rPr>
          <w:rFonts w:hint="eastAsia"/>
          <w:color w:val="auto"/>
        </w:rPr>
        <w:t>G320线普安江西坡至三板桥段改扩建工程位于贵州省普安县，工程起点K0+000位于G320线普安县与晴隆县交界的大桥河，原G320线里程桩号为K2360+050；终点K40+284.419位于G320普安县与盘县交界处的三板桥，对应原G320桩号K2399+900。G320线在本次改扩建工程的K25+100处穿普安县城北面而过，由于普安县经过多年发展，城区扩容较大，现有G320线已成为城市功能道路，沿途房屋密集，行车干扰较大，根据普安县城总体规划，需在县城南面另辟新线快捷通过普安县城，过境车辆不在进入城区，故提出了新建K线方案。</w:t>
      </w:r>
    </w:p>
    <w:p>
      <w:pPr>
        <w:pStyle w:val="4"/>
        <w:rPr>
          <w:rFonts w:hint="default"/>
          <w:color w:val="auto"/>
        </w:rPr>
      </w:pPr>
      <w:bookmarkStart w:id="11" w:name="_Toc430627057"/>
      <w:r>
        <w:rPr>
          <w:rFonts w:hint="default"/>
          <w:color w:val="auto"/>
        </w:rPr>
        <w:t>1.1.2</w:t>
      </w:r>
      <w:r>
        <w:rPr>
          <w:rFonts w:hint="eastAsia"/>
          <w:color w:val="auto"/>
          <w:lang w:eastAsia="zh-CN"/>
        </w:rPr>
        <w:t>项目特性</w:t>
      </w:r>
      <w:r>
        <w:rPr>
          <w:rFonts w:hint="default"/>
          <w:color w:val="auto"/>
        </w:rPr>
        <w:t>及工程规模</w:t>
      </w:r>
      <w:bookmarkEnd w:id="11"/>
    </w:p>
    <w:p>
      <w:pPr>
        <w:ind w:firstLine="482"/>
        <w:rPr>
          <w:color w:val="auto"/>
        </w:rPr>
      </w:pPr>
      <w:bookmarkStart w:id="12" w:name="_Toc430627058"/>
      <w:r>
        <w:rPr>
          <w:b/>
          <w:bCs/>
          <w:color w:val="auto"/>
        </w:rPr>
        <w:t>项目名称：</w:t>
      </w:r>
      <w:r>
        <w:rPr>
          <w:rFonts w:hint="eastAsia"/>
          <w:color w:val="auto"/>
        </w:rPr>
        <w:t>G320线普安江西坡至三板桥段改扩建工程（县城段）</w:t>
      </w:r>
    </w:p>
    <w:p>
      <w:pPr>
        <w:ind w:firstLine="482"/>
        <w:rPr>
          <w:color w:val="auto"/>
        </w:rPr>
      </w:pPr>
      <w:r>
        <w:rPr>
          <w:b/>
          <w:bCs/>
          <w:color w:val="auto"/>
        </w:rPr>
        <w:t>建设单位：</w:t>
      </w:r>
      <w:r>
        <w:rPr>
          <w:color w:val="auto"/>
        </w:rPr>
        <w:t>普安县交通运输局</w:t>
      </w:r>
    </w:p>
    <w:p>
      <w:pPr>
        <w:ind w:firstLine="482"/>
        <w:rPr>
          <w:color w:val="auto"/>
        </w:rPr>
      </w:pPr>
      <w:r>
        <w:rPr>
          <w:b/>
          <w:bCs/>
          <w:color w:val="auto"/>
        </w:rPr>
        <w:t>建设地点：</w:t>
      </w:r>
      <w:r>
        <w:rPr>
          <w:color w:val="auto"/>
        </w:rPr>
        <w:t>普安县</w:t>
      </w:r>
    </w:p>
    <w:p>
      <w:pPr>
        <w:ind w:firstLine="482"/>
        <w:rPr>
          <w:color w:val="auto"/>
        </w:rPr>
      </w:pPr>
      <w:r>
        <w:rPr>
          <w:b/>
          <w:bCs/>
          <w:color w:val="auto"/>
        </w:rPr>
        <w:t>项目规模：</w:t>
      </w:r>
      <w:r>
        <w:rPr>
          <w:rFonts w:hint="eastAsia"/>
          <w:color w:val="auto"/>
        </w:rPr>
        <w:t>道路全长3260.349m，设计时速40km/h，二级公路</w:t>
      </w:r>
    </w:p>
    <w:p>
      <w:pPr>
        <w:ind w:firstLine="482"/>
        <w:rPr>
          <w:color w:val="auto"/>
        </w:rPr>
      </w:pPr>
      <w:r>
        <w:rPr>
          <w:b/>
          <w:bCs/>
          <w:color w:val="auto"/>
        </w:rPr>
        <w:t>建设性质：</w:t>
      </w:r>
      <w:r>
        <w:rPr>
          <w:rFonts w:hint="eastAsia"/>
          <w:color w:val="auto"/>
        </w:rPr>
        <w:t>新建</w:t>
      </w:r>
    </w:p>
    <w:p>
      <w:pPr>
        <w:ind w:firstLine="482"/>
        <w:rPr>
          <w:color w:val="auto"/>
        </w:rPr>
      </w:pPr>
      <w:r>
        <w:rPr>
          <w:b/>
          <w:bCs/>
          <w:color w:val="auto"/>
        </w:rPr>
        <w:t>建设内容：</w:t>
      </w:r>
      <w:r>
        <w:rPr>
          <w:rFonts w:hint="eastAsia"/>
          <w:color w:val="auto"/>
        </w:rPr>
        <w:t>道路工程、排水工程，以及道路范围内的交通、照明、环境保护等配套设施、附属工程及工程范围内的征地、拆迁安置等。</w:t>
      </w:r>
    </w:p>
    <w:p>
      <w:pPr>
        <w:ind w:firstLine="482"/>
        <w:rPr>
          <w:color w:val="auto"/>
        </w:rPr>
      </w:pPr>
      <w:r>
        <w:rPr>
          <w:b/>
          <w:bCs/>
          <w:color w:val="auto"/>
        </w:rPr>
        <w:t>建设工期：</w:t>
      </w:r>
      <w:r>
        <w:rPr>
          <w:rFonts w:hint="eastAsia"/>
          <w:color w:val="auto"/>
        </w:rPr>
        <w:t>项</w:t>
      </w:r>
      <w:r>
        <w:rPr>
          <w:color w:val="auto"/>
        </w:rPr>
        <w:t>目建设总工期22个月，于2014年1月动工，于2016年10月竣工通车</w:t>
      </w:r>
      <w:r>
        <w:rPr>
          <w:rFonts w:hint="eastAsia"/>
          <w:color w:val="auto"/>
        </w:rPr>
        <w:t>。</w:t>
      </w:r>
    </w:p>
    <w:p>
      <w:pPr>
        <w:rPr>
          <w:color w:val="auto"/>
          <w:lang w:eastAsia="zh-CN"/>
        </w:rPr>
      </w:pPr>
      <w:r>
        <w:rPr>
          <w:b/>
          <w:bCs/>
          <w:color w:val="auto"/>
        </w:rPr>
        <w:t>投资：</w:t>
      </w:r>
      <w:r>
        <w:rPr>
          <w:rFonts w:hint="eastAsia"/>
          <w:color w:val="auto"/>
        </w:rPr>
        <w:t>工程总投资4008.34万元(其中土建工程投资为3073.06万元)。</w:t>
      </w:r>
      <w:r>
        <w:rPr>
          <w:color w:val="auto"/>
        </w:rPr>
        <w:t>项目工程主要特征值详见表</w:t>
      </w:r>
      <w:r>
        <w:rPr>
          <w:rFonts w:hint="eastAsia"/>
          <w:color w:val="auto"/>
        </w:rPr>
        <w:t>1</w:t>
      </w:r>
      <w:r>
        <w:rPr>
          <w:color w:val="auto"/>
        </w:rPr>
        <w:t>-1。</w:t>
      </w:r>
    </w:p>
    <w:p>
      <w:pPr>
        <w:pStyle w:val="17"/>
        <w:rPr>
          <w:rFonts w:hint="default"/>
          <w:b w:val="0"/>
          <w:bCs w:val="0"/>
          <w:color w:val="auto"/>
          <w:szCs w:val="24"/>
          <w:lang w:val="en-US" w:eastAsia="zh-CN"/>
        </w:rPr>
      </w:pPr>
      <w:r>
        <w:rPr>
          <w:rFonts w:hint="eastAsia"/>
          <w:color w:val="auto"/>
          <w:lang w:eastAsia="zh-CN"/>
        </w:rPr>
        <w:t>表</w:t>
      </w:r>
      <w:r>
        <w:rPr>
          <w:rFonts w:hint="eastAsia"/>
          <w:color w:val="auto"/>
          <w:lang w:val="en-US" w:eastAsia="zh-CN"/>
        </w:rPr>
        <w:t>1-1</w:t>
      </w:r>
      <w:r>
        <w:rPr>
          <w:rFonts w:hint="eastAsia"/>
          <w:color w:val="auto"/>
          <w:lang w:eastAsia="zh-CN"/>
        </w:rPr>
        <w:t>工程特性表</w:t>
      </w:r>
    </w:p>
    <w:tbl>
      <w:tblPr>
        <w:tblStyle w:val="11"/>
        <w:tblW w:w="8947" w:type="dxa"/>
        <w:tblInd w:w="0" w:type="dxa"/>
        <w:tblLayout w:type="fixed"/>
        <w:tblCellMar>
          <w:top w:w="0" w:type="dxa"/>
          <w:left w:w="108" w:type="dxa"/>
          <w:bottom w:w="0" w:type="dxa"/>
          <w:right w:w="108" w:type="dxa"/>
        </w:tblCellMar>
      </w:tblPr>
      <w:tblGrid>
        <w:gridCol w:w="1811"/>
        <w:gridCol w:w="1811"/>
        <w:gridCol w:w="1809"/>
        <w:gridCol w:w="3516"/>
      </w:tblGrid>
      <w:tr>
        <w:tblPrEx>
          <w:tblCellMar>
            <w:top w:w="0" w:type="dxa"/>
            <w:left w:w="108" w:type="dxa"/>
            <w:bottom w:w="0" w:type="dxa"/>
            <w:right w:w="108" w:type="dxa"/>
          </w:tblCellMar>
        </w:tblPrEx>
        <w:trPr>
          <w:trHeight w:val="340" w:hRule="atLeast"/>
        </w:trPr>
        <w:tc>
          <w:tcPr>
            <w:tcW w:w="3622" w:type="dxa"/>
            <w:gridSpan w:val="2"/>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项   目</w:t>
            </w:r>
          </w:p>
        </w:tc>
        <w:tc>
          <w:tcPr>
            <w:tcW w:w="1809" w:type="dxa"/>
            <w:tcBorders>
              <w:top w:val="single" w:color="auto" w:sz="4" w:space="0"/>
              <w:left w:val="nil"/>
              <w:bottom w:val="single" w:color="auto" w:sz="4" w:space="0"/>
              <w:right w:val="single" w:color="auto" w:sz="4" w:space="0"/>
            </w:tcBorders>
            <w:noWrap w:val="0"/>
            <w:vAlign w:val="center"/>
          </w:tcPr>
          <w:p>
            <w:pPr>
              <w:pStyle w:val="16"/>
              <w:rPr>
                <w:color w:val="auto"/>
              </w:rPr>
            </w:pPr>
            <w:r>
              <w:rPr>
                <w:color w:val="auto"/>
              </w:rPr>
              <w:t>单位</w:t>
            </w:r>
          </w:p>
        </w:tc>
        <w:tc>
          <w:tcPr>
            <w:tcW w:w="3516" w:type="dxa"/>
            <w:tcBorders>
              <w:top w:val="single" w:color="auto" w:sz="4" w:space="0"/>
              <w:left w:val="nil"/>
              <w:bottom w:val="single" w:color="auto" w:sz="4" w:space="0"/>
              <w:right w:val="single" w:color="auto" w:sz="4" w:space="0"/>
            </w:tcBorders>
            <w:noWrap w:val="0"/>
            <w:vAlign w:val="center"/>
          </w:tcPr>
          <w:p>
            <w:pPr>
              <w:pStyle w:val="16"/>
              <w:rPr>
                <w:color w:val="auto"/>
              </w:rPr>
            </w:pPr>
            <w:r>
              <w:rPr>
                <w:color w:val="auto"/>
              </w:rPr>
              <w:t>数  值</w:t>
            </w:r>
          </w:p>
        </w:tc>
      </w:tr>
      <w:tr>
        <w:tblPrEx>
          <w:tblCellMar>
            <w:top w:w="0" w:type="dxa"/>
            <w:left w:w="108" w:type="dxa"/>
            <w:bottom w:w="0" w:type="dxa"/>
            <w:right w:w="108" w:type="dxa"/>
          </w:tblCellMar>
        </w:tblPrEx>
        <w:trPr>
          <w:trHeight w:val="340" w:hRule="atLeast"/>
        </w:trPr>
        <w:tc>
          <w:tcPr>
            <w:tcW w:w="3622" w:type="dxa"/>
            <w:gridSpan w:val="2"/>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道路等级</w:t>
            </w:r>
          </w:p>
        </w:tc>
        <w:tc>
          <w:tcPr>
            <w:tcW w:w="1809" w:type="dxa"/>
            <w:tcBorders>
              <w:top w:val="nil"/>
              <w:left w:val="nil"/>
              <w:bottom w:val="single" w:color="auto" w:sz="4" w:space="0"/>
              <w:right w:val="single" w:color="auto" w:sz="4" w:space="0"/>
            </w:tcBorders>
            <w:noWrap w:val="0"/>
            <w:vAlign w:val="center"/>
          </w:tcPr>
          <w:p>
            <w:pPr>
              <w:pStyle w:val="16"/>
              <w:rPr>
                <w:color w:val="auto"/>
              </w:rPr>
            </w:pPr>
            <w:r>
              <w:rPr>
                <w:color w:val="auto"/>
              </w:rPr>
              <w:t>级</w:t>
            </w:r>
          </w:p>
        </w:tc>
        <w:tc>
          <w:tcPr>
            <w:tcW w:w="3516" w:type="dxa"/>
            <w:tcBorders>
              <w:top w:val="nil"/>
              <w:left w:val="nil"/>
              <w:bottom w:val="single" w:color="auto" w:sz="4" w:space="0"/>
              <w:right w:val="single" w:color="auto" w:sz="4" w:space="0"/>
            </w:tcBorders>
            <w:noWrap w:val="0"/>
            <w:vAlign w:val="center"/>
          </w:tcPr>
          <w:p>
            <w:pPr>
              <w:pStyle w:val="16"/>
              <w:rPr>
                <w:color w:val="auto"/>
              </w:rPr>
            </w:pPr>
            <w:r>
              <w:rPr>
                <w:color w:val="auto"/>
              </w:rPr>
              <w:t>Ⅱ级公路</w:t>
            </w:r>
          </w:p>
        </w:tc>
      </w:tr>
      <w:tr>
        <w:tblPrEx>
          <w:tblCellMar>
            <w:top w:w="0" w:type="dxa"/>
            <w:left w:w="108" w:type="dxa"/>
            <w:bottom w:w="0" w:type="dxa"/>
            <w:right w:w="108" w:type="dxa"/>
          </w:tblCellMar>
        </w:tblPrEx>
        <w:trPr>
          <w:trHeight w:val="340" w:hRule="atLeast"/>
        </w:trPr>
        <w:tc>
          <w:tcPr>
            <w:tcW w:w="3622" w:type="dxa"/>
            <w:gridSpan w:val="2"/>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路基宽度</w:t>
            </w:r>
          </w:p>
        </w:tc>
        <w:tc>
          <w:tcPr>
            <w:tcW w:w="1809" w:type="dxa"/>
            <w:tcBorders>
              <w:top w:val="nil"/>
              <w:left w:val="nil"/>
              <w:bottom w:val="single" w:color="auto" w:sz="4" w:space="0"/>
              <w:right w:val="single" w:color="auto" w:sz="4" w:space="0"/>
            </w:tcBorders>
            <w:noWrap w:val="0"/>
            <w:vAlign w:val="center"/>
          </w:tcPr>
          <w:p>
            <w:pPr>
              <w:pStyle w:val="16"/>
              <w:rPr>
                <w:color w:val="auto"/>
              </w:rPr>
            </w:pPr>
            <w:r>
              <w:rPr>
                <w:color w:val="auto"/>
              </w:rPr>
              <w:t>m</w:t>
            </w:r>
          </w:p>
        </w:tc>
        <w:tc>
          <w:tcPr>
            <w:tcW w:w="3516" w:type="dxa"/>
            <w:tcBorders>
              <w:top w:val="nil"/>
              <w:left w:val="nil"/>
              <w:bottom w:val="single" w:color="auto" w:sz="4" w:space="0"/>
              <w:right w:val="single" w:color="auto" w:sz="4" w:space="0"/>
            </w:tcBorders>
            <w:noWrap w:val="0"/>
            <w:vAlign w:val="center"/>
          </w:tcPr>
          <w:p>
            <w:pPr>
              <w:pStyle w:val="16"/>
              <w:rPr>
                <w:color w:val="auto"/>
              </w:rPr>
            </w:pPr>
            <w:r>
              <w:rPr>
                <w:color w:val="auto"/>
              </w:rPr>
              <w:t>8.5</w:t>
            </w:r>
          </w:p>
        </w:tc>
      </w:tr>
      <w:tr>
        <w:tblPrEx>
          <w:tblCellMar>
            <w:top w:w="0" w:type="dxa"/>
            <w:left w:w="108" w:type="dxa"/>
            <w:bottom w:w="0" w:type="dxa"/>
            <w:right w:w="108" w:type="dxa"/>
          </w:tblCellMar>
        </w:tblPrEx>
        <w:trPr>
          <w:trHeight w:val="340" w:hRule="atLeast"/>
        </w:trPr>
        <w:tc>
          <w:tcPr>
            <w:tcW w:w="3622" w:type="dxa"/>
            <w:gridSpan w:val="2"/>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计算行车速度</w:t>
            </w:r>
          </w:p>
        </w:tc>
        <w:tc>
          <w:tcPr>
            <w:tcW w:w="1809" w:type="dxa"/>
            <w:tcBorders>
              <w:top w:val="nil"/>
              <w:left w:val="nil"/>
              <w:bottom w:val="single" w:color="auto" w:sz="4" w:space="0"/>
              <w:right w:val="single" w:color="auto" w:sz="4" w:space="0"/>
            </w:tcBorders>
            <w:noWrap w:val="0"/>
            <w:vAlign w:val="center"/>
          </w:tcPr>
          <w:p>
            <w:pPr>
              <w:pStyle w:val="16"/>
              <w:rPr>
                <w:color w:val="auto"/>
              </w:rPr>
            </w:pPr>
            <w:r>
              <w:rPr>
                <w:color w:val="auto"/>
              </w:rPr>
              <w:t>km/h</w:t>
            </w:r>
          </w:p>
        </w:tc>
        <w:tc>
          <w:tcPr>
            <w:tcW w:w="3516" w:type="dxa"/>
            <w:tcBorders>
              <w:top w:val="nil"/>
              <w:left w:val="nil"/>
              <w:bottom w:val="single" w:color="auto" w:sz="4" w:space="0"/>
              <w:right w:val="single" w:color="auto" w:sz="4" w:space="0"/>
            </w:tcBorders>
            <w:noWrap w:val="0"/>
            <w:vAlign w:val="center"/>
          </w:tcPr>
          <w:p>
            <w:pPr>
              <w:pStyle w:val="16"/>
              <w:rPr>
                <w:color w:val="auto"/>
              </w:rPr>
            </w:pPr>
            <w:r>
              <w:rPr>
                <w:color w:val="auto"/>
              </w:rPr>
              <w:t>40</w:t>
            </w:r>
          </w:p>
        </w:tc>
      </w:tr>
      <w:tr>
        <w:tblPrEx>
          <w:tblCellMar>
            <w:top w:w="0" w:type="dxa"/>
            <w:left w:w="108" w:type="dxa"/>
            <w:bottom w:w="0" w:type="dxa"/>
            <w:right w:w="108" w:type="dxa"/>
          </w:tblCellMar>
        </w:tblPrEx>
        <w:trPr>
          <w:trHeight w:val="340" w:hRule="atLeast"/>
        </w:trPr>
        <w:tc>
          <w:tcPr>
            <w:tcW w:w="3622" w:type="dxa"/>
            <w:gridSpan w:val="2"/>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线路长度</w:t>
            </w:r>
          </w:p>
        </w:tc>
        <w:tc>
          <w:tcPr>
            <w:tcW w:w="1809" w:type="dxa"/>
            <w:tcBorders>
              <w:top w:val="nil"/>
              <w:left w:val="nil"/>
              <w:bottom w:val="single" w:color="auto" w:sz="4" w:space="0"/>
              <w:right w:val="single" w:color="auto" w:sz="4" w:space="0"/>
            </w:tcBorders>
            <w:noWrap w:val="0"/>
            <w:vAlign w:val="center"/>
          </w:tcPr>
          <w:p>
            <w:pPr>
              <w:pStyle w:val="16"/>
              <w:rPr>
                <w:color w:val="auto"/>
              </w:rPr>
            </w:pPr>
            <w:r>
              <w:rPr>
                <w:color w:val="auto"/>
              </w:rPr>
              <w:t>m</w:t>
            </w:r>
          </w:p>
        </w:tc>
        <w:tc>
          <w:tcPr>
            <w:tcW w:w="3516" w:type="dxa"/>
            <w:tcBorders>
              <w:top w:val="nil"/>
              <w:left w:val="nil"/>
              <w:bottom w:val="single" w:color="auto" w:sz="4" w:space="0"/>
              <w:right w:val="single" w:color="auto" w:sz="4" w:space="0"/>
            </w:tcBorders>
            <w:noWrap w:val="0"/>
            <w:vAlign w:val="center"/>
          </w:tcPr>
          <w:p>
            <w:pPr>
              <w:pStyle w:val="16"/>
              <w:rPr>
                <w:color w:val="auto"/>
              </w:rPr>
            </w:pPr>
            <w:r>
              <w:rPr>
                <w:color w:val="auto"/>
              </w:rPr>
              <w:t>全长3260.349m</w:t>
            </w:r>
          </w:p>
        </w:tc>
      </w:tr>
      <w:tr>
        <w:tblPrEx>
          <w:tblCellMar>
            <w:top w:w="0" w:type="dxa"/>
            <w:left w:w="108" w:type="dxa"/>
            <w:bottom w:w="0" w:type="dxa"/>
            <w:right w:w="108" w:type="dxa"/>
          </w:tblCellMar>
        </w:tblPrEx>
        <w:trPr>
          <w:trHeight w:val="340" w:hRule="atLeast"/>
        </w:trPr>
        <w:tc>
          <w:tcPr>
            <w:tcW w:w="3622" w:type="dxa"/>
            <w:gridSpan w:val="2"/>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圆曲线最小半径</w:t>
            </w:r>
          </w:p>
        </w:tc>
        <w:tc>
          <w:tcPr>
            <w:tcW w:w="1809" w:type="dxa"/>
            <w:tcBorders>
              <w:top w:val="nil"/>
              <w:left w:val="nil"/>
              <w:bottom w:val="single" w:color="auto" w:sz="4" w:space="0"/>
              <w:right w:val="single" w:color="auto" w:sz="4" w:space="0"/>
            </w:tcBorders>
            <w:noWrap w:val="0"/>
            <w:vAlign w:val="center"/>
          </w:tcPr>
          <w:p>
            <w:pPr>
              <w:pStyle w:val="16"/>
              <w:rPr>
                <w:color w:val="auto"/>
              </w:rPr>
            </w:pPr>
            <w:r>
              <w:rPr>
                <w:color w:val="auto"/>
              </w:rPr>
              <w:t>m/个</w:t>
            </w:r>
          </w:p>
        </w:tc>
        <w:tc>
          <w:tcPr>
            <w:tcW w:w="3516" w:type="dxa"/>
            <w:tcBorders>
              <w:top w:val="nil"/>
              <w:left w:val="nil"/>
              <w:bottom w:val="single" w:color="auto" w:sz="4" w:space="0"/>
              <w:right w:val="single" w:color="auto" w:sz="4" w:space="0"/>
            </w:tcBorders>
            <w:noWrap w:val="0"/>
            <w:vAlign w:val="center"/>
          </w:tcPr>
          <w:p>
            <w:pPr>
              <w:pStyle w:val="16"/>
              <w:rPr>
                <w:color w:val="auto"/>
              </w:rPr>
            </w:pPr>
            <w:r>
              <w:rPr>
                <w:color w:val="auto"/>
              </w:rPr>
              <w:t>20.5/1（回头曲线）</w:t>
            </w:r>
          </w:p>
        </w:tc>
      </w:tr>
      <w:tr>
        <w:tblPrEx>
          <w:tblCellMar>
            <w:top w:w="0" w:type="dxa"/>
            <w:left w:w="108" w:type="dxa"/>
            <w:bottom w:w="0" w:type="dxa"/>
            <w:right w:w="108" w:type="dxa"/>
          </w:tblCellMar>
        </w:tblPrEx>
        <w:trPr>
          <w:trHeight w:val="340" w:hRule="atLeast"/>
        </w:trPr>
        <w:tc>
          <w:tcPr>
            <w:tcW w:w="3622" w:type="dxa"/>
            <w:gridSpan w:val="2"/>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凸形竖曲线最小半径</w:t>
            </w:r>
          </w:p>
        </w:tc>
        <w:tc>
          <w:tcPr>
            <w:tcW w:w="1809" w:type="dxa"/>
            <w:tcBorders>
              <w:top w:val="nil"/>
              <w:left w:val="nil"/>
              <w:bottom w:val="single" w:color="auto" w:sz="4" w:space="0"/>
              <w:right w:val="single" w:color="auto" w:sz="4" w:space="0"/>
            </w:tcBorders>
            <w:noWrap w:val="0"/>
            <w:vAlign w:val="center"/>
          </w:tcPr>
          <w:p>
            <w:pPr>
              <w:pStyle w:val="16"/>
              <w:rPr>
                <w:color w:val="auto"/>
              </w:rPr>
            </w:pPr>
            <w:r>
              <w:rPr>
                <w:color w:val="auto"/>
              </w:rPr>
              <w:t>m/个</w:t>
            </w:r>
          </w:p>
        </w:tc>
        <w:tc>
          <w:tcPr>
            <w:tcW w:w="3516" w:type="dxa"/>
            <w:tcBorders>
              <w:top w:val="nil"/>
              <w:left w:val="nil"/>
              <w:bottom w:val="single" w:color="auto" w:sz="4" w:space="0"/>
              <w:right w:val="single" w:color="auto" w:sz="4" w:space="0"/>
            </w:tcBorders>
            <w:noWrap w:val="0"/>
            <w:vAlign w:val="center"/>
          </w:tcPr>
          <w:p>
            <w:pPr>
              <w:pStyle w:val="16"/>
              <w:rPr>
                <w:color w:val="auto"/>
              </w:rPr>
            </w:pPr>
            <w:r>
              <w:rPr>
                <w:color w:val="auto"/>
              </w:rPr>
              <w:t>800/1</w:t>
            </w:r>
          </w:p>
        </w:tc>
      </w:tr>
      <w:tr>
        <w:tblPrEx>
          <w:tblCellMar>
            <w:top w:w="0" w:type="dxa"/>
            <w:left w:w="108" w:type="dxa"/>
            <w:bottom w:w="0" w:type="dxa"/>
            <w:right w:w="108" w:type="dxa"/>
          </w:tblCellMar>
        </w:tblPrEx>
        <w:trPr>
          <w:trHeight w:val="340" w:hRule="atLeast"/>
        </w:trPr>
        <w:tc>
          <w:tcPr>
            <w:tcW w:w="3622" w:type="dxa"/>
            <w:gridSpan w:val="2"/>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凹形竖曲线最小半径</w:t>
            </w:r>
          </w:p>
        </w:tc>
        <w:tc>
          <w:tcPr>
            <w:tcW w:w="1809" w:type="dxa"/>
            <w:tcBorders>
              <w:top w:val="nil"/>
              <w:left w:val="nil"/>
              <w:bottom w:val="single" w:color="auto" w:sz="4" w:space="0"/>
              <w:right w:val="single" w:color="auto" w:sz="4" w:space="0"/>
            </w:tcBorders>
            <w:noWrap w:val="0"/>
            <w:vAlign w:val="center"/>
          </w:tcPr>
          <w:p>
            <w:pPr>
              <w:pStyle w:val="16"/>
              <w:rPr>
                <w:color w:val="auto"/>
              </w:rPr>
            </w:pPr>
            <w:r>
              <w:rPr>
                <w:color w:val="auto"/>
              </w:rPr>
              <w:t>m/个</w:t>
            </w:r>
          </w:p>
        </w:tc>
        <w:tc>
          <w:tcPr>
            <w:tcW w:w="3516" w:type="dxa"/>
            <w:tcBorders>
              <w:top w:val="nil"/>
              <w:left w:val="nil"/>
              <w:bottom w:val="single" w:color="auto" w:sz="4" w:space="0"/>
              <w:right w:val="single" w:color="auto" w:sz="4" w:space="0"/>
            </w:tcBorders>
            <w:noWrap w:val="0"/>
            <w:vAlign w:val="center"/>
          </w:tcPr>
          <w:p>
            <w:pPr>
              <w:pStyle w:val="16"/>
              <w:rPr>
                <w:color w:val="auto"/>
              </w:rPr>
            </w:pPr>
            <w:r>
              <w:rPr>
                <w:color w:val="auto"/>
              </w:rPr>
              <w:t>550/1</w:t>
            </w:r>
          </w:p>
        </w:tc>
      </w:tr>
      <w:tr>
        <w:tblPrEx>
          <w:tblCellMar>
            <w:top w:w="0" w:type="dxa"/>
            <w:left w:w="108" w:type="dxa"/>
            <w:bottom w:w="0" w:type="dxa"/>
            <w:right w:w="108" w:type="dxa"/>
          </w:tblCellMar>
        </w:tblPrEx>
        <w:trPr>
          <w:trHeight w:val="340" w:hRule="atLeast"/>
        </w:trPr>
        <w:tc>
          <w:tcPr>
            <w:tcW w:w="3622" w:type="dxa"/>
            <w:gridSpan w:val="2"/>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直线最大长度</w:t>
            </w:r>
          </w:p>
        </w:tc>
        <w:tc>
          <w:tcPr>
            <w:tcW w:w="1809" w:type="dxa"/>
            <w:tcBorders>
              <w:top w:val="nil"/>
              <w:left w:val="nil"/>
              <w:bottom w:val="single" w:color="auto" w:sz="4" w:space="0"/>
              <w:right w:val="single" w:color="auto" w:sz="4" w:space="0"/>
            </w:tcBorders>
            <w:noWrap w:val="0"/>
            <w:vAlign w:val="center"/>
          </w:tcPr>
          <w:p>
            <w:pPr>
              <w:pStyle w:val="16"/>
              <w:rPr>
                <w:color w:val="auto"/>
              </w:rPr>
            </w:pPr>
            <w:r>
              <w:rPr>
                <w:color w:val="auto"/>
              </w:rPr>
              <w:t>m</w:t>
            </w:r>
          </w:p>
        </w:tc>
        <w:tc>
          <w:tcPr>
            <w:tcW w:w="3516" w:type="dxa"/>
            <w:tcBorders>
              <w:top w:val="nil"/>
              <w:left w:val="nil"/>
              <w:bottom w:val="single" w:color="auto" w:sz="4" w:space="0"/>
              <w:right w:val="single" w:color="auto" w:sz="4" w:space="0"/>
            </w:tcBorders>
            <w:noWrap w:val="0"/>
            <w:vAlign w:val="center"/>
          </w:tcPr>
          <w:p>
            <w:pPr>
              <w:pStyle w:val="16"/>
              <w:rPr>
                <w:color w:val="auto"/>
              </w:rPr>
            </w:pPr>
            <w:r>
              <w:rPr>
                <w:color w:val="auto"/>
              </w:rPr>
              <w:t>506.1</w:t>
            </w:r>
          </w:p>
        </w:tc>
      </w:tr>
      <w:tr>
        <w:tblPrEx>
          <w:tblCellMar>
            <w:top w:w="0" w:type="dxa"/>
            <w:left w:w="108" w:type="dxa"/>
            <w:bottom w:w="0" w:type="dxa"/>
            <w:right w:w="108" w:type="dxa"/>
          </w:tblCellMar>
        </w:tblPrEx>
        <w:trPr>
          <w:trHeight w:val="340" w:hRule="atLeast"/>
        </w:trPr>
        <w:tc>
          <w:tcPr>
            <w:tcW w:w="3622" w:type="dxa"/>
            <w:gridSpan w:val="2"/>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最大纵坡</w:t>
            </w:r>
          </w:p>
        </w:tc>
        <w:tc>
          <w:tcPr>
            <w:tcW w:w="1809" w:type="dxa"/>
            <w:tcBorders>
              <w:top w:val="nil"/>
              <w:left w:val="nil"/>
              <w:bottom w:val="single" w:color="auto" w:sz="4" w:space="0"/>
              <w:right w:val="single" w:color="auto" w:sz="4" w:space="0"/>
            </w:tcBorders>
            <w:noWrap w:val="0"/>
            <w:vAlign w:val="center"/>
          </w:tcPr>
          <w:p>
            <w:pPr>
              <w:pStyle w:val="16"/>
              <w:rPr>
                <w:color w:val="auto"/>
              </w:rPr>
            </w:pPr>
            <w:r>
              <w:rPr>
                <w:color w:val="auto"/>
              </w:rPr>
              <w:t>%</w:t>
            </w:r>
          </w:p>
        </w:tc>
        <w:tc>
          <w:tcPr>
            <w:tcW w:w="3516" w:type="dxa"/>
            <w:tcBorders>
              <w:top w:val="nil"/>
              <w:left w:val="nil"/>
              <w:bottom w:val="single" w:color="auto" w:sz="4" w:space="0"/>
              <w:right w:val="single" w:color="auto" w:sz="4" w:space="0"/>
            </w:tcBorders>
            <w:noWrap w:val="0"/>
            <w:vAlign w:val="center"/>
          </w:tcPr>
          <w:p>
            <w:pPr>
              <w:pStyle w:val="16"/>
              <w:rPr>
                <w:color w:val="auto"/>
              </w:rPr>
            </w:pPr>
            <w:r>
              <w:rPr>
                <w:color w:val="auto"/>
              </w:rPr>
              <w:t>8</w:t>
            </w:r>
          </w:p>
        </w:tc>
      </w:tr>
      <w:tr>
        <w:tblPrEx>
          <w:tblCellMar>
            <w:top w:w="0" w:type="dxa"/>
            <w:left w:w="108" w:type="dxa"/>
            <w:bottom w:w="0" w:type="dxa"/>
            <w:right w:w="108" w:type="dxa"/>
          </w:tblCellMar>
        </w:tblPrEx>
        <w:trPr>
          <w:trHeight w:val="340" w:hRule="atLeast"/>
        </w:trPr>
        <w:tc>
          <w:tcPr>
            <w:tcW w:w="3622" w:type="dxa"/>
            <w:gridSpan w:val="2"/>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最小坡长</w:t>
            </w:r>
          </w:p>
        </w:tc>
        <w:tc>
          <w:tcPr>
            <w:tcW w:w="1809" w:type="dxa"/>
            <w:tcBorders>
              <w:top w:val="nil"/>
              <w:left w:val="nil"/>
              <w:bottom w:val="single" w:color="auto" w:sz="4" w:space="0"/>
              <w:right w:val="single" w:color="auto" w:sz="4" w:space="0"/>
            </w:tcBorders>
            <w:noWrap w:val="0"/>
            <w:vAlign w:val="center"/>
          </w:tcPr>
          <w:p>
            <w:pPr>
              <w:pStyle w:val="16"/>
              <w:rPr>
                <w:color w:val="auto"/>
              </w:rPr>
            </w:pPr>
            <w:r>
              <w:rPr>
                <w:color w:val="auto"/>
              </w:rPr>
              <w:t>m</w:t>
            </w:r>
          </w:p>
        </w:tc>
        <w:tc>
          <w:tcPr>
            <w:tcW w:w="3516" w:type="dxa"/>
            <w:tcBorders>
              <w:top w:val="nil"/>
              <w:left w:val="nil"/>
              <w:bottom w:val="single" w:color="auto" w:sz="4" w:space="0"/>
              <w:right w:val="single" w:color="auto" w:sz="4" w:space="0"/>
            </w:tcBorders>
            <w:noWrap w:val="0"/>
            <w:vAlign w:val="center"/>
          </w:tcPr>
          <w:p>
            <w:pPr>
              <w:pStyle w:val="16"/>
              <w:rPr>
                <w:color w:val="auto"/>
              </w:rPr>
            </w:pPr>
            <w:r>
              <w:rPr>
                <w:color w:val="auto"/>
              </w:rPr>
              <w:t>120</w:t>
            </w:r>
          </w:p>
        </w:tc>
      </w:tr>
      <w:tr>
        <w:tblPrEx>
          <w:tblCellMar>
            <w:top w:w="0" w:type="dxa"/>
            <w:left w:w="108" w:type="dxa"/>
            <w:bottom w:w="0" w:type="dxa"/>
            <w:right w:w="108" w:type="dxa"/>
          </w:tblCellMar>
        </w:tblPrEx>
        <w:trPr>
          <w:trHeight w:val="340" w:hRule="atLeast"/>
        </w:trPr>
        <w:tc>
          <w:tcPr>
            <w:tcW w:w="3622" w:type="dxa"/>
            <w:gridSpan w:val="2"/>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路面结构类型</w:t>
            </w:r>
          </w:p>
        </w:tc>
        <w:tc>
          <w:tcPr>
            <w:tcW w:w="1809" w:type="dxa"/>
            <w:tcBorders>
              <w:top w:val="nil"/>
              <w:left w:val="nil"/>
              <w:bottom w:val="single" w:color="auto" w:sz="4" w:space="0"/>
              <w:right w:val="single" w:color="auto" w:sz="4" w:space="0"/>
            </w:tcBorders>
            <w:noWrap w:val="0"/>
            <w:vAlign w:val="center"/>
          </w:tcPr>
          <w:p>
            <w:pPr>
              <w:pStyle w:val="16"/>
              <w:rPr>
                <w:color w:val="auto"/>
              </w:rPr>
            </w:pPr>
            <w:r>
              <w:rPr>
                <w:color w:val="auto"/>
              </w:rPr>
              <w:t>m</w:t>
            </w:r>
          </w:p>
        </w:tc>
        <w:tc>
          <w:tcPr>
            <w:tcW w:w="3516" w:type="dxa"/>
            <w:tcBorders>
              <w:top w:val="nil"/>
              <w:left w:val="nil"/>
              <w:bottom w:val="single" w:color="auto" w:sz="4" w:space="0"/>
              <w:right w:val="single" w:color="auto" w:sz="4" w:space="0"/>
            </w:tcBorders>
            <w:noWrap w:val="0"/>
            <w:vAlign w:val="center"/>
          </w:tcPr>
          <w:p>
            <w:pPr>
              <w:pStyle w:val="16"/>
              <w:rPr>
                <w:color w:val="auto"/>
              </w:rPr>
            </w:pPr>
            <w:r>
              <w:rPr>
                <w:color w:val="auto"/>
              </w:rPr>
              <w:t>沥青混凝土路面</w:t>
            </w:r>
          </w:p>
        </w:tc>
      </w:tr>
      <w:tr>
        <w:tblPrEx>
          <w:tblCellMar>
            <w:top w:w="0" w:type="dxa"/>
            <w:left w:w="108" w:type="dxa"/>
            <w:bottom w:w="0" w:type="dxa"/>
            <w:right w:w="108" w:type="dxa"/>
          </w:tblCellMar>
        </w:tblPrEx>
        <w:trPr>
          <w:trHeight w:val="340" w:hRule="atLeast"/>
        </w:trPr>
        <w:tc>
          <w:tcPr>
            <w:tcW w:w="3622" w:type="dxa"/>
            <w:gridSpan w:val="2"/>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汽车荷载等级</w:t>
            </w:r>
          </w:p>
        </w:tc>
        <w:tc>
          <w:tcPr>
            <w:tcW w:w="1809" w:type="dxa"/>
            <w:tcBorders>
              <w:top w:val="nil"/>
              <w:left w:val="nil"/>
              <w:bottom w:val="single" w:color="auto" w:sz="4" w:space="0"/>
              <w:right w:val="single" w:color="auto" w:sz="4" w:space="0"/>
            </w:tcBorders>
            <w:noWrap w:val="0"/>
            <w:vAlign w:val="center"/>
          </w:tcPr>
          <w:p>
            <w:pPr>
              <w:pStyle w:val="16"/>
              <w:rPr>
                <w:color w:val="auto"/>
              </w:rPr>
            </w:pPr>
            <w:r>
              <w:rPr>
                <w:color w:val="auto"/>
              </w:rPr>
              <w:t>级</w:t>
            </w:r>
          </w:p>
        </w:tc>
        <w:tc>
          <w:tcPr>
            <w:tcW w:w="3516" w:type="dxa"/>
            <w:tcBorders>
              <w:top w:val="nil"/>
              <w:left w:val="nil"/>
              <w:bottom w:val="single" w:color="auto" w:sz="4" w:space="0"/>
              <w:right w:val="single" w:color="auto" w:sz="4" w:space="0"/>
            </w:tcBorders>
            <w:noWrap w:val="0"/>
            <w:vAlign w:val="center"/>
          </w:tcPr>
          <w:p>
            <w:pPr>
              <w:pStyle w:val="16"/>
              <w:rPr>
                <w:color w:val="auto"/>
              </w:rPr>
            </w:pPr>
            <w:r>
              <w:rPr>
                <w:color w:val="auto"/>
              </w:rPr>
              <w:t>公路-Ⅰ级</w:t>
            </w:r>
          </w:p>
        </w:tc>
      </w:tr>
      <w:tr>
        <w:tblPrEx>
          <w:tblCellMar>
            <w:top w:w="0" w:type="dxa"/>
            <w:left w:w="108" w:type="dxa"/>
            <w:bottom w:w="0" w:type="dxa"/>
            <w:right w:w="108" w:type="dxa"/>
          </w:tblCellMar>
        </w:tblPrEx>
        <w:trPr>
          <w:trHeight w:val="340" w:hRule="atLeast"/>
        </w:trPr>
        <w:tc>
          <w:tcPr>
            <w:tcW w:w="3622" w:type="dxa"/>
            <w:gridSpan w:val="2"/>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桥梁</w:t>
            </w:r>
          </w:p>
        </w:tc>
        <w:tc>
          <w:tcPr>
            <w:tcW w:w="1809" w:type="dxa"/>
            <w:tcBorders>
              <w:top w:val="nil"/>
              <w:left w:val="nil"/>
              <w:bottom w:val="single" w:color="auto" w:sz="4" w:space="0"/>
              <w:right w:val="single" w:color="auto" w:sz="4" w:space="0"/>
            </w:tcBorders>
            <w:noWrap w:val="0"/>
            <w:vAlign w:val="center"/>
          </w:tcPr>
          <w:p>
            <w:pPr>
              <w:pStyle w:val="16"/>
              <w:rPr>
                <w:color w:val="auto"/>
              </w:rPr>
            </w:pPr>
            <w:r>
              <w:rPr>
                <w:color w:val="auto"/>
              </w:rPr>
              <w:t>座</w:t>
            </w:r>
          </w:p>
        </w:tc>
        <w:tc>
          <w:tcPr>
            <w:tcW w:w="3516" w:type="dxa"/>
            <w:tcBorders>
              <w:top w:val="nil"/>
              <w:left w:val="nil"/>
              <w:bottom w:val="single" w:color="auto" w:sz="4" w:space="0"/>
              <w:right w:val="single" w:color="auto" w:sz="4" w:space="0"/>
            </w:tcBorders>
            <w:noWrap w:val="0"/>
            <w:vAlign w:val="center"/>
          </w:tcPr>
          <w:p>
            <w:pPr>
              <w:pStyle w:val="16"/>
              <w:rPr>
                <w:color w:val="auto"/>
              </w:rPr>
            </w:pPr>
            <w:r>
              <w:rPr>
                <w:color w:val="auto"/>
              </w:rPr>
              <w:t>无</w:t>
            </w:r>
          </w:p>
        </w:tc>
      </w:tr>
      <w:tr>
        <w:tblPrEx>
          <w:tblCellMar>
            <w:top w:w="0" w:type="dxa"/>
            <w:left w:w="108" w:type="dxa"/>
            <w:bottom w:w="0" w:type="dxa"/>
            <w:right w:w="108" w:type="dxa"/>
          </w:tblCellMar>
        </w:tblPrEx>
        <w:trPr>
          <w:trHeight w:val="340" w:hRule="atLeast"/>
        </w:trPr>
        <w:tc>
          <w:tcPr>
            <w:tcW w:w="1811" w:type="dxa"/>
            <w:tcBorders>
              <w:top w:val="nil"/>
              <w:left w:val="single" w:color="auto" w:sz="4" w:space="0"/>
              <w:bottom w:val="single" w:color="000000" w:sz="4" w:space="0"/>
              <w:right w:val="single" w:color="auto" w:sz="4" w:space="0"/>
            </w:tcBorders>
            <w:noWrap w:val="0"/>
            <w:vAlign w:val="center"/>
          </w:tcPr>
          <w:p>
            <w:pPr>
              <w:pStyle w:val="16"/>
              <w:rPr>
                <w:color w:val="auto"/>
              </w:rPr>
            </w:pPr>
            <w:r>
              <w:rPr>
                <w:color w:val="auto"/>
              </w:rPr>
              <w:t>项目占地</w:t>
            </w:r>
          </w:p>
        </w:tc>
        <w:tc>
          <w:tcPr>
            <w:tcW w:w="1811" w:type="dxa"/>
            <w:tcBorders>
              <w:top w:val="nil"/>
              <w:left w:val="nil"/>
              <w:bottom w:val="single" w:color="auto" w:sz="4" w:space="0"/>
              <w:right w:val="single" w:color="auto" w:sz="4" w:space="0"/>
            </w:tcBorders>
            <w:noWrap w:val="0"/>
            <w:vAlign w:val="center"/>
          </w:tcPr>
          <w:p>
            <w:pPr>
              <w:pStyle w:val="16"/>
              <w:rPr>
                <w:color w:val="auto"/>
              </w:rPr>
            </w:pPr>
            <w:r>
              <w:rPr>
                <w:color w:val="auto"/>
              </w:rPr>
              <w:t>路基区</w:t>
            </w:r>
          </w:p>
        </w:tc>
        <w:tc>
          <w:tcPr>
            <w:tcW w:w="1809" w:type="dxa"/>
            <w:tcBorders>
              <w:top w:val="nil"/>
              <w:left w:val="nil"/>
              <w:bottom w:val="single" w:color="auto" w:sz="4" w:space="0"/>
              <w:right w:val="single" w:color="auto" w:sz="4" w:space="0"/>
            </w:tcBorders>
            <w:noWrap w:val="0"/>
            <w:vAlign w:val="center"/>
          </w:tcPr>
          <w:p>
            <w:pPr>
              <w:pStyle w:val="16"/>
              <w:rPr>
                <w:color w:val="auto"/>
              </w:rPr>
            </w:pPr>
            <w:r>
              <w:rPr>
                <w:color w:val="auto"/>
              </w:rPr>
              <w:t>hm</w:t>
            </w:r>
            <w:r>
              <w:rPr>
                <w:color w:val="auto"/>
                <w:vertAlign w:val="superscript"/>
              </w:rPr>
              <w:t>2</w:t>
            </w:r>
          </w:p>
        </w:tc>
        <w:tc>
          <w:tcPr>
            <w:tcW w:w="3516" w:type="dxa"/>
            <w:tcBorders>
              <w:top w:val="nil"/>
              <w:left w:val="nil"/>
              <w:bottom w:val="single" w:color="auto" w:sz="4" w:space="0"/>
              <w:right w:val="single" w:color="auto" w:sz="4" w:space="0"/>
            </w:tcBorders>
            <w:noWrap w:val="0"/>
            <w:vAlign w:val="center"/>
          </w:tcPr>
          <w:p>
            <w:pPr>
              <w:pStyle w:val="16"/>
              <w:rPr>
                <w:color w:val="auto"/>
              </w:rPr>
            </w:pPr>
            <w:r>
              <w:rPr>
                <w:rFonts w:hint="default"/>
                <w:color w:val="auto"/>
              </w:rPr>
              <w:t>5.43</w:t>
            </w:r>
          </w:p>
        </w:tc>
      </w:tr>
      <w:tr>
        <w:tblPrEx>
          <w:tblCellMar>
            <w:top w:w="0" w:type="dxa"/>
            <w:left w:w="108" w:type="dxa"/>
            <w:bottom w:w="0" w:type="dxa"/>
            <w:right w:w="108" w:type="dxa"/>
          </w:tblCellMar>
        </w:tblPrEx>
        <w:trPr>
          <w:trHeight w:val="340" w:hRule="atLeast"/>
        </w:trPr>
        <w:tc>
          <w:tcPr>
            <w:tcW w:w="1811" w:type="dxa"/>
            <w:vMerge w:val="restart"/>
            <w:tcBorders>
              <w:top w:val="nil"/>
              <w:left w:val="single" w:color="auto" w:sz="4" w:space="0"/>
              <w:bottom w:val="single" w:color="auto" w:sz="4" w:space="0"/>
              <w:right w:val="single" w:color="auto" w:sz="4" w:space="0"/>
            </w:tcBorders>
            <w:noWrap w:val="0"/>
            <w:vAlign w:val="center"/>
          </w:tcPr>
          <w:p>
            <w:pPr>
              <w:pStyle w:val="16"/>
              <w:rPr>
                <w:color w:val="auto"/>
              </w:rPr>
            </w:pPr>
            <w:r>
              <w:rPr>
                <w:color w:val="auto"/>
              </w:rPr>
              <w:t>土石方</w:t>
            </w:r>
          </w:p>
        </w:tc>
        <w:tc>
          <w:tcPr>
            <w:tcW w:w="1811" w:type="dxa"/>
            <w:tcBorders>
              <w:top w:val="nil"/>
              <w:left w:val="nil"/>
              <w:bottom w:val="single" w:color="auto" w:sz="4" w:space="0"/>
              <w:right w:val="single" w:color="auto" w:sz="4" w:space="0"/>
            </w:tcBorders>
            <w:noWrap w:val="0"/>
            <w:vAlign w:val="center"/>
          </w:tcPr>
          <w:p>
            <w:pPr>
              <w:pStyle w:val="16"/>
              <w:rPr>
                <w:color w:val="auto"/>
              </w:rPr>
            </w:pPr>
            <w:r>
              <w:rPr>
                <w:color w:val="auto"/>
              </w:rPr>
              <w:t>挖方</w:t>
            </w:r>
          </w:p>
        </w:tc>
        <w:tc>
          <w:tcPr>
            <w:tcW w:w="1809" w:type="dxa"/>
            <w:tcBorders>
              <w:top w:val="nil"/>
              <w:left w:val="nil"/>
              <w:bottom w:val="single" w:color="auto" w:sz="4" w:space="0"/>
              <w:right w:val="single" w:color="auto" w:sz="4" w:space="0"/>
            </w:tcBorders>
            <w:noWrap w:val="0"/>
            <w:vAlign w:val="center"/>
          </w:tcPr>
          <w:p>
            <w:pPr>
              <w:pStyle w:val="16"/>
              <w:rPr>
                <w:color w:val="auto"/>
              </w:rPr>
            </w:pPr>
            <w:r>
              <w:rPr>
                <w:color w:val="auto"/>
              </w:rPr>
              <w:t>万m</w:t>
            </w:r>
            <w:r>
              <w:rPr>
                <w:color w:val="auto"/>
                <w:vertAlign w:val="superscript"/>
              </w:rPr>
              <w:t>3</w:t>
            </w:r>
          </w:p>
        </w:tc>
        <w:tc>
          <w:tcPr>
            <w:tcW w:w="3516" w:type="dxa"/>
            <w:tcBorders>
              <w:top w:val="nil"/>
              <w:left w:val="nil"/>
              <w:bottom w:val="single" w:color="auto" w:sz="4" w:space="0"/>
              <w:right w:val="single" w:color="auto" w:sz="4" w:space="0"/>
            </w:tcBorders>
            <w:noWrap w:val="0"/>
            <w:vAlign w:val="center"/>
          </w:tcPr>
          <w:p>
            <w:pPr>
              <w:pStyle w:val="16"/>
              <w:rPr>
                <w:color w:val="auto"/>
              </w:rPr>
            </w:pPr>
            <w:r>
              <w:rPr>
                <w:rFonts w:hint="default"/>
                <w:color w:val="auto"/>
              </w:rPr>
              <w:t>18.56</w:t>
            </w:r>
          </w:p>
        </w:tc>
      </w:tr>
      <w:tr>
        <w:tblPrEx>
          <w:tblCellMar>
            <w:top w:w="0" w:type="dxa"/>
            <w:left w:w="108" w:type="dxa"/>
            <w:bottom w:w="0" w:type="dxa"/>
            <w:right w:w="108" w:type="dxa"/>
          </w:tblCellMar>
        </w:tblPrEx>
        <w:trPr>
          <w:trHeight w:val="340" w:hRule="atLeast"/>
        </w:trPr>
        <w:tc>
          <w:tcPr>
            <w:tcW w:w="1811" w:type="dxa"/>
            <w:vMerge w:val="continue"/>
            <w:tcBorders>
              <w:top w:val="nil"/>
              <w:left w:val="single" w:color="auto" w:sz="4" w:space="0"/>
              <w:bottom w:val="single" w:color="auto" w:sz="4" w:space="0"/>
              <w:right w:val="single" w:color="auto" w:sz="4" w:space="0"/>
            </w:tcBorders>
            <w:noWrap w:val="0"/>
            <w:vAlign w:val="center"/>
          </w:tcPr>
          <w:p>
            <w:pPr>
              <w:pStyle w:val="16"/>
              <w:rPr>
                <w:color w:val="auto"/>
              </w:rPr>
            </w:pPr>
          </w:p>
        </w:tc>
        <w:tc>
          <w:tcPr>
            <w:tcW w:w="1811" w:type="dxa"/>
            <w:tcBorders>
              <w:top w:val="nil"/>
              <w:left w:val="nil"/>
              <w:bottom w:val="single" w:color="auto" w:sz="4" w:space="0"/>
              <w:right w:val="single" w:color="auto" w:sz="4" w:space="0"/>
            </w:tcBorders>
            <w:noWrap w:val="0"/>
            <w:vAlign w:val="center"/>
          </w:tcPr>
          <w:p>
            <w:pPr>
              <w:pStyle w:val="16"/>
              <w:rPr>
                <w:color w:val="auto"/>
              </w:rPr>
            </w:pPr>
            <w:r>
              <w:rPr>
                <w:color w:val="auto"/>
              </w:rPr>
              <w:t>填方</w:t>
            </w:r>
          </w:p>
        </w:tc>
        <w:tc>
          <w:tcPr>
            <w:tcW w:w="1809" w:type="dxa"/>
            <w:tcBorders>
              <w:top w:val="nil"/>
              <w:left w:val="nil"/>
              <w:bottom w:val="single" w:color="auto" w:sz="4" w:space="0"/>
              <w:right w:val="single" w:color="auto" w:sz="4" w:space="0"/>
            </w:tcBorders>
            <w:noWrap w:val="0"/>
            <w:vAlign w:val="center"/>
          </w:tcPr>
          <w:p>
            <w:pPr>
              <w:pStyle w:val="16"/>
              <w:rPr>
                <w:color w:val="auto"/>
              </w:rPr>
            </w:pPr>
            <w:r>
              <w:rPr>
                <w:color w:val="auto"/>
              </w:rPr>
              <w:t>万m</w:t>
            </w:r>
            <w:r>
              <w:rPr>
                <w:color w:val="auto"/>
                <w:vertAlign w:val="superscript"/>
              </w:rPr>
              <w:t>3</w:t>
            </w:r>
          </w:p>
        </w:tc>
        <w:tc>
          <w:tcPr>
            <w:tcW w:w="3516" w:type="dxa"/>
            <w:tcBorders>
              <w:top w:val="nil"/>
              <w:left w:val="nil"/>
              <w:bottom w:val="single" w:color="auto" w:sz="4" w:space="0"/>
              <w:right w:val="single" w:color="auto" w:sz="4" w:space="0"/>
            </w:tcBorders>
            <w:noWrap w:val="0"/>
            <w:vAlign w:val="center"/>
          </w:tcPr>
          <w:p>
            <w:pPr>
              <w:pStyle w:val="16"/>
              <w:rPr>
                <w:color w:val="auto"/>
              </w:rPr>
            </w:pPr>
            <w:r>
              <w:rPr>
                <w:rFonts w:hint="default"/>
                <w:color w:val="auto"/>
              </w:rPr>
              <w:t>9.66</w:t>
            </w:r>
          </w:p>
        </w:tc>
      </w:tr>
      <w:tr>
        <w:tblPrEx>
          <w:tblCellMar>
            <w:top w:w="0" w:type="dxa"/>
            <w:left w:w="108" w:type="dxa"/>
            <w:bottom w:w="0" w:type="dxa"/>
            <w:right w:w="108" w:type="dxa"/>
          </w:tblCellMar>
        </w:tblPrEx>
        <w:trPr>
          <w:trHeight w:val="340" w:hRule="atLeast"/>
        </w:trPr>
        <w:tc>
          <w:tcPr>
            <w:tcW w:w="1811" w:type="dxa"/>
            <w:vMerge w:val="restart"/>
            <w:tcBorders>
              <w:top w:val="nil"/>
              <w:left w:val="single" w:color="auto" w:sz="4" w:space="0"/>
              <w:right w:val="single" w:color="auto" w:sz="4" w:space="0"/>
            </w:tcBorders>
            <w:noWrap w:val="0"/>
            <w:vAlign w:val="center"/>
          </w:tcPr>
          <w:p>
            <w:pPr>
              <w:pStyle w:val="16"/>
              <w:rPr>
                <w:color w:val="auto"/>
              </w:rPr>
            </w:pPr>
            <w:r>
              <w:rPr>
                <w:color w:val="auto"/>
              </w:rPr>
              <w:t>项目投资</w:t>
            </w:r>
          </w:p>
        </w:tc>
        <w:tc>
          <w:tcPr>
            <w:tcW w:w="1811" w:type="dxa"/>
            <w:tcBorders>
              <w:top w:val="nil"/>
              <w:left w:val="nil"/>
              <w:bottom w:val="single" w:color="auto" w:sz="4" w:space="0"/>
              <w:right w:val="single" w:color="auto" w:sz="4" w:space="0"/>
            </w:tcBorders>
            <w:noWrap w:val="0"/>
            <w:vAlign w:val="center"/>
          </w:tcPr>
          <w:p>
            <w:pPr>
              <w:pStyle w:val="16"/>
              <w:rPr>
                <w:color w:val="auto"/>
              </w:rPr>
            </w:pPr>
            <w:r>
              <w:rPr>
                <w:color w:val="auto"/>
              </w:rPr>
              <w:t>项目总投资</w:t>
            </w:r>
          </w:p>
        </w:tc>
        <w:tc>
          <w:tcPr>
            <w:tcW w:w="1809" w:type="dxa"/>
            <w:tcBorders>
              <w:top w:val="nil"/>
              <w:left w:val="nil"/>
              <w:bottom w:val="single" w:color="auto" w:sz="4" w:space="0"/>
              <w:right w:val="single" w:color="auto" w:sz="4" w:space="0"/>
            </w:tcBorders>
            <w:noWrap w:val="0"/>
            <w:vAlign w:val="center"/>
          </w:tcPr>
          <w:p>
            <w:pPr>
              <w:pStyle w:val="16"/>
              <w:rPr>
                <w:color w:val="auto"/>
              </w:rPr>
            </w:pPr>
            <w:r>
              <w:rPr>
                <w:color w:val="auto"/>
              </w:rPr>
              <w:t>万元</w:t>
            </w:r>
          </w:p>
        </w:tc>
        <w:tc>
          <w:tcPr>
            <w:tcW w:w="3516" w:type="dxa"/>
            <w:tcBorders>
              <w:top w:val="nil"/>
              <w:left w:val="nil"/>
              <w:bottom w:val="single" w:color="auto" w:sz="4" w:space="0"/>
              <w:right w:val="single" w:color="auto" w:sz="4" w:space="0"/>
            </w:tcBorders>
            <w:noWrap w:val="0"/>
            <w:vAlign w:val="center"/>
          </w:tcPr>
          <w:p>
            <w:pPr>
              <w:pStyle w:val="16"/>
              <w:rPr>
                <w:color w:val="auto"/>
              </w:rPr>
            </w:pPr>
            <w:r>
              <w:rPr>
                <w:color w:val="auto"/>
              </w:rPr>
              <w:t>4008.34</w:t>
            </w:r>
          </w:p>
        </w:tc>
      </w:tr>
      <w:tr>
        <w:tblPrEx>
          <w:tblCellMar>
            <w:top w:w="0" w:type="dxa"/>
            <w:left w:w="108" w:type="dxa"/>
            <w:bottom w:w="0" w:type="dxa"/>
            <w:right w:w="108" w:type="dxa"/>
          </w:tblCellMar>
        </w:tblPrEx>
        <w:trPr>
          <w:trHeight w:val="340" w:hRule="atLeast"/>
        </w:trPr>
        <w:tc>
          <w:tcPr>
            <w:tcW w:w="1811" w:type="dxa"/>
            <w:vMerge w:val="continue"/>
            <w:tcBorders>
              <w:left w:val="single" w:color="auto" w:sz="4" w:space="0"/>
              <w:bottom w:val="single" w:color="auto" w:sz="4" w:space="0"/>
              <w:right w:val="single" w:color="auto" w:sz="4" w:space="0"/>
            </w:tcBorders>
            <w:noWrap w:val="0"/>
            <w:vAlign w:val="center"/>
          </w:tcPr>
          <w:p>
            <w:pPr>
              <w:pStyle w:val="16"/>
              <w:rPr>
                <w:color w:val="auto"/>
              </w:rPr>
            </w:pPr>
          </w:p>
        </w:tc>
        <w:tc>
          <w:tcPr>
            <w:tcW w:w="1811" w:type="dxa"/>
            <w:tcBorders>
              <w:top w:val="nil"/>
              <w:left w:val="nil"/>
              <w:bottom w:val="single" w:color="auto" w:sz="4" w:space="0"/>
              <w:right w:val="single" w:color="auto" w:sz="4" w:space="0"/>
            </w:tcBorders>
            <w:noWrap w:val="0"/>
            <w:vAlign w:val="center"/>
          </w:tcPr>
          <w:p>
            <w:pPr>
              <w:pStyle w:val="16"/>
              <w:rPr>
                <w:color w:val="auto"/>
              </w:rPr>
            </w:pPr>
            <w:r>
              <w:rPr>
                <w:color w:val="auto"/>
              </w:rPr>
              <w:t>土建投资</w:t>
            </w:r>
          </w:p>
        </w:tc>
        <w:tc>
          <w:tcPr>
            <w:tcW w:w="1809" w:type="dxa"/>
            <w:tcBorders>
              <w:top w:val="nil"/>
              <w:left w:val="nil"/>
              <w:bottom w:val="single" w:color="auto" w:sz="4" w:space="0"/>
              <w:right w:val="single" w:color="auto" w:sz="4" w:space="0"/>
            </w:tcBorders>
            <w:noWrap w:val="0"/>
            <w:vAlign w:val="center"/>
          </w:tcPr>
          <w:p>
            <w:pPr>
              <w:pStyle w:val="16"/>
              <w:rPr>
                <w:color w:val="auto"/>
              </w:rPr>
            </w:pPr>
            <w:r>
              <w:rPr>
                <w:color w:val="auto"/>
              </w:rPr>
              <w:t>万元</w:t>
            </w:r>
          </w:p>
        </w:tc>
        <w:tc>
          <w:tcPr>
            <w:tcW w:w="3516" w:type="dxa"/>
            <w:tcBorders>
              <w:top w:val="nil"/>
              <w:left w:val="nil"/>
              <w:bottom w:val="single" w:color="auto" w:sz="4" w:space="0"/>
              <w:right w:val="single" w:color="auto" w:sz="4" w:space="0"/>
            </w:tcBorders>
            <w:noWrap w:val="0"/>
            <w:vAlign w:val="center"/>
          </w:tcPr>
          <w:p>
            <w:pPr>
              <w:pStyle w:val="16"/>
              <w:rPr>
                <w:color w:val="auto"/>
              </w:rPr>
            </w:pPr>
            <w:r>
              <w:rPr>
                <w:color w:val="auto"/>
              </w:rPr>
              <w:t>3073.06</w:t>
            </w:r>
          </w:p>
        </w:tc>
      </w:tr>
    </w:tbl>
    <w:p>
      <w:pPr>
        <w:pStyle w:val="7"/>
        <w:rPr>
          <w:rFonts w:ascii="Times New Roman" w:hAnsi="Times New Roman" w:eastAsia="仿宋_GB2312" w:cs="Times New Roman"/>
          <w:color w:val="auto"/>
          <w:spacing w:val="0"/>
          <w:sz w:val="24"/>
          <w:szCs w:val="28"/>
          <w:lang w:eastAsia="zh-CN"/>
        </w:rPr>
      </w:pPr>
    </w:p>
    <w:p>
      <w:pPr>
        <w:pStyle w:val="4"/>
        <w:rPr>
          <w:rFonts w:hint="eastAsia" w:eastAsia="黑体"/>
          <w:color w:val="auto"/>
          <w:lang w:val="en-US" w:eastAsia="zh-CN"/>
        </w:rPr>
      </w:pPr>
      <w:r>
        <w:rPr>
          <w:rFonts w:hint="default"/>
          <w:color w:val="auto"/>
        </w:rPr>
        <w:t>1.1.3项目组成及</w:t>
      </w:r>
      <w:bookmarkEnd w:id="12"/>
      <w:r>
        <w:rPr>
          <w:rFonts w:hint="eastAsia"/>
          <w:color w:val="auto"/>
          <w:lang w:eastAsia="zh-CN"/>
        </w:rPr>
        <w:t>分区</w:t>
      </w:r>
    </w:p>
    <w:p>
      <w:pPr>
        <w:widowControl/>
        <w:ind w:firstLine="480"/>
        <w:jc w:val="left"/>
        <w:rPr>
          <w:color w:val="auto"/>
        </w:rPr>
      </w:pPr>
      <w:r>
        <w:rPr>
          <w:rFonts w:hint="eastAsia"/>
          <w:color w:val="auto"/>
        </w:rPr>
        <w:t>本项目建设主要为道路工程、交通</w:t>
      </w:r>
      <w:r>
        <w:rPr>
          <w:color w:val="auto"/>
        </w:rPr>
        <w:t>安全及管理措施</w:t>
      </w:r>
      <w:r>
        <w:rPr>
          <w:rFonts w:hint="eastAsia"/>
          <w:color w:val="auto"/>
        </w:rPr>
        <w:t>和照明</w:t>
      </w:r>
      <w:r>
        <w:rPr>
          <w:color w:val="auto"/>
        </w:rPr>
        <w:t>工程</w:t>
      </w:r>
      <w:r>
        <w:rPr>
          <w:rFonts w:hint="eastAsia"/>
          <w:color w:val="auto"/>
        </w:rPr>
        <w:t>。具体布置如下：</w:t>
      </w:r>
    </w:p>
    <w:p>
      <w:pPr>
        <w:ind w:firstLine="480"/>
        <w:rPr>
          <w:rFonts w:hint="eastAsia"/>
          <w:color w:val="auto"/>
        </w:rPr>
      </w:pPr>
      <w:r>
        <w:rPr>
          <w:rFonts w:hint="eastAsia"/>
          <w:color w:val="auto"/>
        </w:rPr>
        <w:t>一、道路工程</w:t>
      </w:r>
    </w:p>
    <w:p>
      <w:pPr>
        <w:ind w:firstLine="480"/>
        <w:rPr>
          <w:rFonts w:hint="eastAsia"/>
          <w:color w:val="auto"/>
        </w:rPr>
      </w:pPr>
      <w:r>
        <w:rPr>
          <w:rFonts w:hint="eastAsia"/>
          <w:color w:val="auto"/>
        </w:rPr>
        <w:t>1、道路设计方案</w:t>
      </w:r>
    </w:p>
    <w:p>
      <w:pPr>
        <w:ind w:firstLine="480"/>
        <w:rPr>
          <w:rFonts w:hint="eastAsia"/>
          <w:color w:val="auto"/>
        </w:rPr>
      </w:pPr>
      <w:r>
        <w:rPr>
          <w:rFonts w:hint="eastAsia"/>
          <w:color w:val="auto"/>
        </w:rPr>
        <w:t>（1）路线平面设计</w:t>
      </w:r>
    </w:p>
    <w:p>
      <w:pPr>
        <w:ind w:firstLine="480"/>
        <w:rPr>
          <w:color w:val="auto"/>
        </w:rPr>
      </w:pPr>
      <w:r>
        <w:rPr>
          <w:rFonts w:hint="eastAsia"/>
          <w:bCs/>
          <w:color w:val="auto"/>
        </w:rPr>
        <w:t>G320线普安江西坡至三板桥段改扩建工程（县城段）的建设</w:t>
      </w:r>
      <w:r>
        <w:rPr>
          <w:rFonts w:hint="eastAsia"/>
          <w:color w:val="auto"/>
        </w:rPr>
        <w:t>是为了进一步改善普安县交通状况，缓解城市交通压力。项目新建道路</w:t>
      </w:r>
      <w:r>
        <w:rPr>
          <w:rFonts w:hint="eastAsia"/>
          <w:bCs/>
          <w:color w:val="auto"/>
        </w:rPr>
        <w:t>全长3260.349m，</w:t>
      </w:r>
      <w:r>
        <w:rPr>
          <w:rFonts w:hint="eastAsia"/>
          <w:color w:val="auto"/>
        </w:rPr>
        <w:t>道路平面总的按一个断面进行设置</w:t>
      </w:r>
      <w:r>
        <w:rPr>
          <w:rFonts w:hint="eastAsia"/>
          <w:bCs/>
          <w:color w:val="auto"/>
        </w:rPr>
        <w:t>，</w:t>
      </w:r>
      <w:r>
        <w:rPr>
          <w:rFonts w:hint="eastAsia"/>
          <w:color w:val="auto"/>
        </w:rPr>
        <w:t>设计行车速度40km/h。</w:t>
      </w:r>
    </w:p>
    <w:p>
      <w:pPr>
        <w:ind w:firstLine="480"/>
        <w:rPr>
          <w:rFonts w:hint="eastAsia"/>
          <w:color w:val="auto"/>
        </w:rPr>
      </w:pPr>
      <w:r>
        <w:rPr>
          <w:rFonts w:hint="eastAsia"/>
          <w:color w:val="auto"/>
        </w:rPr>
        <w:t>（2）道路纵断设计</w:t>
      </w:r>
    </w:p>
    <w:p>
      <w:pPr>
        <w:ind w:firstLine="480"/>
        <w:rPr>
          <w:rFonts w:hint="eastAsia"/>
          <w:color w:val="auto"/>
        </w:rPr>
      </w:pPr>
      <w:r>
        <w:rPr>
          <w:rFonts w:hint="eastAsia"/>
          <w:color w:val="auto"/>
        </w:rPr>
        <w:t>道路纵断面最大纵坡达8%。</w:t>
      </w:r>
    </w:p>
    <w:p>
      <w:pPr>
        <w:ind w:firstLine="480"/>
        <w:rPr>
          <w:rFonts w:hint="eastAsia"/>
          <w:bCs/>
          <w:color w:val="auto"/>
        </w:rPr>
      </w:pPr>
      <w:r>
        <w:rPr>
          <w:rFonts w:hint="eastAsia"/>
          <w:color w:val="auto"/>
        </w:rPr>
        <w:t>（3）</w:t>
      </w:r>
      <w:bookmarkStart w:id="13" w:name="_Toc211065764"/>
      <w:bookmarkStart w:id="14" w:name="_Toc223342055"/>
      <w:r>
        <w:rPr>
          <w:rFonts w:hint="eastAsia"/>
          <w:bCs/>
          <w:color w:val="auto"/>
        </w:rPr>
        <w:t>道路标准横断面设计</w:t>
      </w:r>
      <w:bookmarkEnd w:id="13"/>
      <w:bookmarkEnd w:id="14"/>
    </w:p>
    <w:p>
      <w:pPr>
        <w:ind w:firstLine="480"/>
        <w:rPr>
          <w:rFonts w:hint="eastAsia"/>
          <w:color w:val="auto"/>
        </w:rPr>
      </w:pPr>
      <w:r>
        <w:rPr>
          <w:rFonts w:hint="eastAsia"/>
          <w:bCs/>
          <w:color w:val="auto"/>
        </w:rPr>
        <w:t>G320线普安江西坡至三板桥段改扩建工程（县城段）路</w:t>
      </w:r>
      <w:r>
        <w:rPr>
          <w:rFonts w:hint="eastAsia"/>
          <w:color w:val="auto"/>
        </w:rPr>
        <w:t>幅宽8.5m=0.75m路肩+3.5m车行道+3.5m车行道+0.75m路肩。</w:t>
      </w:r>
    </w:p>
    <w:p>
      <w:pPr>
        <w:ind w:firstLine="480"/>
        <w:rPr>
          <w:rFonts w:hint="eastAsia"/>
          <w:color w:val="auto"/>
        </w:rPr>
      </w:pPr>
      <w:r>
        <w:rPr>
          <w:rFonts w:hint="eastAsia"/>
          <w:color w:val="auto"/>
        </w:rPr>
        <w:t>2、道路路基、路面</w:t>
      </w:r>
    </w:p>
    <w:p>
      <w:pPr>
        <w:ind w:firstLine="480"/>
        <w:rPr>
          <w:rFonts w:hint="eastAsia"/>
          <w:color w:val="auto"/>
        </w:rPr>
      </w:pPr>
      <w:r>
        <w:rPr>
          <w:rFonts w:hint="eastAsia"/>
          <w:color w:val="auto"/>
        </w:rPr>
        <w:t>（1）路基处理</w:t>
      </w:r>
    </w:p>
    <w:p>
      <w:pPr>
        <w:ind w:firstLine="480"/>
        <w:rPr>
          <w:rFonts w:hint="eastAsia"/>
          <w:color w:val="auto"/>
        </w:rPr>
      </w:pPr>
      <w:r>
        <w:rPr>
          <w:rFonts w:hint="eastAsia"/>
          <w:color w:val="auto"/>
        </w:rPr>
        <w:t>一般路基处理：一般地段清除表层耕植土并夯实原地面，采用石分层填筑的方法进行路基回填，石料强度不小于20Mpa。部分浅挖、低填路基，当地下水位较高时，清表后对原地基进行适当处理；为保证路基边缘部分的压实度，路堤两侧各加宽填筑30cm，碾压密实后削坡。对凹地和地下水丰富路段要求地基开挖1.5～</w:t>
      </w:r>
      <w:r>
        <w:rPr>
          <w:color w:val="auto"/>
        </w:rPr>
        <w:t>2m</w:t>
      </w:r>
      <w:r>
        <w:rPr>
          <w:rFonts w:hint="eastAsia"/>
          <w:color w:val="auto"/>
        </w:rPr>
        <w:t>的井字形沟，沟中填碎石，减少地下水对路基的影响。</w:t>
      </w:r>
    </w:p>
    <w:p>
      <w:pPr>
        <w:ind w:firstLine="480"/>
        <w:rPr>
          <w:rFonts w:hint="eastAsia"/>
          <w:color w:val="auto"/>
        </w:rPr>
      </w:pPr>
      <w:r>
        <w:rPr>
          <w:rFonts w:hint="eastAsia"/>
          <w:color w:val="auto"/>
        </w:rPr>
        <w:t xml:space="preserve"> 特殊路基处理：路线局部地段经过低洼的区域，该段路基承载力达不到设计要求，需进行换填处理，采用毛石换填，换填深度按1m计。</w:t>
      </w:r>
    </w:p>
    <w:p>
      <w:pPr>
        <w:ind w:firstLine="480"/>
        <w:rPr>
          <w:rFonts w:hint="eastAsia"/>
          <w:color w:val="auto"/>
        </w:rPr>
      </w:pPr>
      <w:r>
        <w:rPr>
          <w:rFonts w:hint="eastAsia"/>
          <w:color w:val="auto"/>
        </w:rPr>
        <w:t>边坡治理：为了减少工程的造价和因地块开发所造成的不必要浪费，对道路两边的路堤路堑边坡采用放坡的形式，</w:t>
      </w:r>
      <w:r>
        <w:rPr>
          <w:color w:val="auto"/>
        </w:rPr>
        <w:t>根据不同的地质、坡比和台高等情况，采用了</w:t>
      </w:r>
      <w:r>
        <w:rPr>
          <w:rFonts w:hint="eastAsia"/>
          <w:color w:val="auto"/>
        </w:rPr>
        <w:t>三维网植草、</w:t>
      </w:r>
      <w:r>
        <w:rPr>
          <w:color w:val="auto"/>
        </w:rPr>
        <w:t>浆砌片石护坡、窗孔肋式护坡和喷射砼、</w:t>
      </w:r>
      <w:r>
        <w:rPr>
          <w:rFonts w:hint="eastAsia"/>
          <w:color w:val="auto"/>
        </w:rPr>
        <w:t>生态</w:t>
      </w:r>
      <w:r>
        <w:rPr>
          <w:color w:val="auto"/>
        </w:rPr>
        <w:t>防护</w:t>
      </w:r>
      <w:r>
        <w:rPr>
          <w:rFonts w:hint="eastAsia"/>
          <w:color w:val="auto"/>
        </w:rPr>
        <w:t>、</w:t>
      </w:r>
      <w:r>
        <w:rPr>
          <w:color w:val="auto"/>
        </w:rPr>
        <w:t>全长粘结型锚杆等原坡面加固形式</w:t>
      </w:r>
      <w:r>
        <w:rPr>
          <w:rFonts w:hint="eastAsia"/>
          <w:color w:val="auto"/>
        </w:rPr>
        <w:t>。</w:t>
      </w:r>
    </w:p>
    <w:p>
      <w:pPr>
        <w:ind w:firstLine="480"/>
        <w:rPr>
          <w:rFonts w:hint="eastAsia"/>
          <w:color w:val="auto"/>
        </w:rPr>
      </w:pPr>
      <w:r>
        <w:rPr>
          <w:rFonts w:hint="eastAsia"/>
          <w:color w:val="auto"/>
        </w:rPr>
        <w:t>（2）路面</w:t>
      </w:r>
    </w:p>
    <w:p>
      <w:pPr>
        <w:ind w:firstLine="480"/>
        <w:rPr>
          <w:rFonts w:hint="eastAsia"/>
          <w:color w:val="auto"/>
        </w:rPr>
      </w:pPr>
      <w:r>
        <w:rPr>
          <w:rFonts w:hint="eastAsia"/>
          <w:color w:val="auto"/>
        </w:rPr>
        <w:t>1）路面为沥青混凝土路面，按重型交通量设计。</w:t>
      </w:r>
    </w:p>
    <w:p>
      <w:pPr>
        <w:ind w:firstLine="480"/>
        <w:rPr>
          <w:rFonts w:hint="eastAsia"/>
          <w:color w:val="auto"/>
        </w:rPr>
      </w:pPr>
      <w:r>
        <w:rPr>
          <w:rFonts w:hint="eastAsia"/>
          <w:color w:val="auto"/>
        </w:rPr>
        <w:t>2）路面设计年限15年。</w:t>
      </w:r>
    </w:p>
    <w:p>
      <w:pPr>
        <w:ind w:firstLine="480"/>
        <w:rPr>
          <w:rFonts w:hint="eastAsia"/>
          <w:color w:val="auto"/>
        </w:rPr>
      </w:pPr>
      <w:r>
        <w:rPr>
          <w:rFonts w:hint="eastAsia"/>
          <w:color w:val="auto"/>
        </w:rPr>
        <w:t xml:space="preserve">3）结构组合： </w:t>
      </w:r>
    </w:p>
    <w:p>
      <w:pPr>
        <w:ind w:firstLine="480"/>
        <w:rPr>
          <w:rFonts w:hint="eastAsia"/>
          <w:color w:val="auto"/>
        </w:rPr>
      </w:pPr>
      <w:r>
        <w:rPr>
          <w:rFonts w:hint="eastAsia"/>
          <w:color w:val="auto"/>
        </w:rPr>
        <w:t>上面层4cm细粒式改性沥青混凝土（AC13-C）（掺3‰聚丙烯腈纤维）</w:t>
      </w:r>
    </w:p>
    <w:p>
      <w:pPr>
        <w:ind w:firstLine="480"/>
        <w:rPr>
          <w:rFonts w:hint="eastAsia"/>
          <w:color w:val="auto"/>
        </w:rPr>
      </w:pPr>
      <w:r>
        <w:rPr>
          <w:rFonts w:hint="eastAsia"/>
          <w:color w:val="auto"/>
        </w:rPr>
        <w:t>撒热熔沥青粘层（用量0.4L/m</w:t>
      </w:r>
      <w:r>
        <w:rPr>
          <w:rFonts w:hint="eastAsia"/>
          <w:color w:val="auto"/>
          <w:vertAlign w:val="superscript"/>
        </w:rPr>
        <w:t>2</w:t>
      </w:r>
      <w:r>
        <w:rPr>
          <w:rFonts w:hint="eastAsia"/>
          <w:color w:val="auto"/>
        </w:rPr>
        <w:t>）</w:t>
      </w:r>
    </w:p>
    <w:p>
      <w:pPr>
        <w:ind w:firstLine="480"/>
        <w:rPr>
          <w:rFonts w:hint="eastAsia"/>
          <w:color w:val="auto"/>
        </w:rPr>
      </w:pPr>
      <w:r>
        <w:rPr>
          <w:rFonts w:hint="eastAsia"/>
          <w:color w:val="auto"/>
        </w:rPr>
        <w:t>中面层5cm中粒式沥青混凝土（AC20-C）</w:t>
      </w:r>
    </w:p>
    <w:p>
      <w:pPr>
        <w:ind w:firstLine="480"/>
        <w:rPr>
          <w:rFonts w:hint="eastAsia"/>
          <w:color w:val="auto"/>
        </w:rPr>
      </w:pPr>
      <w:r>
        <w:rPr>
          <w:rFonts w:hint="eastAsia"/>
          <w:color w:val="auto"/>
        </w:rPr>
        <w:t>撒热熔沥青粘层（用量0.4L/m</w:t>
      </w:r>
      <w:r>
        <w:rPr>
          <w:rFonts w:hint="eastAsia"/>
          <w:color w:val="auto"/>
          <w:vertAlign w:val="superscript"/>
        </w:rPr>
        <w:t>2</w:t>
      </w:r>
      <w:r>
        <w:rPr>
          <w:rFonts w:hint="eastAsia"/>
          <w:color w:val="auto"/>
        </w:rPr>
        <w:t>）</w:t>
      </w:r>
    </w:p>
    <w:p>
      <w:pPr>
        <w:ind w:firstLine="480"/>
        <w:rPr>
          <w:rFonts w:hint="eastAsia"/>
          <w:color w:val="auto"/>
        </w:rPr>
      </w:pPr>
      <w:r>
        <w:rPr>
          <w:rFonts w:hint="eastAsia"/>
          <w:color w:val="auto"/>
        </w:rPr>
        <w:t>下面层7cm粗粒式沥青混凝土（AC25-C）</w:t>
      </w:r>
    </w:p>
    <w:p>
      <w:pPr>
        <w:ind w:firstLine="480"/>
        <w:rPr>
          <w:rFonts w:hint="eastAsia"/>
          <w:color w:val="auto"/>
        </w:rPr>
      </w:pPr>
      <w:r>
        <w:rPr>
          <w:rFonts w:hint="eastAsia"/>
          <w:color w:val="auto"/>
        </w:rPr>
        <w:t>热熔沥青透层1.2L/m</w:t>
      </w:r>
      <w:r>
        <w:rPr>
          <w:rFonts w:hint="eastAsia"/>
          <w:color w:val="auto"/>
          <w:vertAlign w:val="superscript"/>
        </w:rPr>
        <w:t>2</w:t>
      </w:r>
      <w:r>
        <w:rPr>
          <w:rFonts w:hint="eastAsia"/>
          <w:color w:val="auto"/>
        </w:rPr>
        <w:t>（面层加玻璃纤维格栅80×80）</w:t>
      </w:r>
    </w:p>
    <w:p>
      <w:pPr>
        <w:ind w:firstLine="480"/>
        <w:rPr>
          <w:rFonts w:hint="eastAsia"/>
          <w:color w:val="auto"/>
        </w:rPr>
      </w:pPr>
      <w:r>
        <w:rPr>
          <w:rFonts w:hint="eastAsia"/>
          <w:color w:val="auto"/>
        </w:rPr>
        <w:t>36m水泥稳定基层（分两层施工）</w:t>
      </w:r>
    </w:p>
    <w:p>
      <w:pPr>
        <w:ind w:firstLine="480"/>
        <w:rPr>
          <w:rFonts w:hint="eastAsia"/>
          <w:color w:val="auto"/>
        </w:rPr>
      </w:pPr>
      <w:r>
        <w:rPr>
          <w:rFonts w:hint="eastAsia"/>
          <w:color w:val="auto"/>
        </w:rPr>
        <w:t>15cm级配碎石垫层</w:t>
      </w:r>
    </w:p>
    <w:p>
      <w:pPr>
        <w:ind w:firstLine="480"/>
        <w:rPr>
          <w:rFonts w:hint="eastAsia"/>
          <w:color w:val="auto"/>
        </w:rPr>
      </w:pPr>
      <w:r>
        <w:rPr>
          <w:rFonts w:hint="eastAsia"/>
          <w:color w:val="auto"/>
        </w:rPr>
        <w:t>30cm毛石垫层</w:t>
      </w:r>
    </w:p>
    <w:p>
      <w:pPr>
        <w:ind w:firstLine="480"/>
        <w:rPr>
          <w:rFonts w:hint="eastAsia"/>
          <w:color w:val="auto"/>
        </w:rPr>
      </w:pPr>
      <w:r>
        <w:rPr>
          <w:rFonts w:hint="eastAsia"/>
          <w:color w:val="auto"/>
        </w:rPr>
        <w:t>压实土基</w:t>
      </w:r>
    </w:p>
    <w:p>
      <w:pPr>
        <w:ind w:firstLine="480"/>
        <w:rPr>
          <w:rFonts w:hint="eastAsia"/>
          <w:color w:val="auto"/>
        </w:rPr>
      </w:pPr>
      <w:r>
        <w:rPr>
          <w:rFonts w:hint="eastAsia"/>
          <w:color w:val="auto"/>
        </w:rPr>
        <w:t>三、道路景观</w:t>
      </w:r>
    </w:p>
    <w:p>
      <w:pPr>
        <w:ind w:firstLine="480"/>
        <w:rPr>
          <w:rFonts w:hint="eastAsia"/>
          <w:color w:val="auto"/>
        </w:rPr>
      </w:pPr>
      <w:bookmarkStart w:id="15" w:name="_Toc206737953"/>
      <w:r>
        <w:rPr>
          <w:rFonts w:hint="eastAsia"/>
          <w:color w:val="auto"/>
        </w:rPr>
        <w:t>由于该新建道路位于普安县城，城市主要道路合理的景观系统对形成良好的城市景观布局、完善的景观生态系统、宜人的城市外部空间有着重要的作用，是进一步改善城市景观空间质量，建设可持续发展城市的重要内容，是建设“生态文明城市”的一个重要组成部分。因此，本道路工程的建设须与周边景观融合为一体。</w:t>
      </w:r>
      <w:bookmarkEnd w:id="15"/>
    </w:p>
    <w:p>
      <w:pPr>
        <w:ind w:firstLine="480"/>
        <w:rPr>
          <w:rFonts w:hint="eastAsia"/>
          <w:color w:val="auto"/>
        </w:rPr>
      </w:pPr>
      <w:bookmarkStart w:id="16" w:name="_Toc286010226"/>
      <w:r>
        <w:rPr>
          <w:rFonts w:hint="eastAsia"/>
          <w:color w:val="auto"/>
        </w:rPr>
        <w:t>四、排水工程</w:t>
      </w:r>
      <w:bookmarkEnd w:id="16"/>
    </w:p>
    <w:p>
      <w:pPr>
        <w:ind w:firstLine="480"/>
        <w:rPr>
          <w:rFonts w:hint="eastAsia"/>
          <w:color w:val="auto"/>
        </w:rPr>
      </w:pPr>
      <w:r>
        <w:rPr>
          <w:rFonts w:hint="eastAsia"/>
          <w:color w:val="auto"/>
        </w:rPr>
        <w:t>本工程范围内排水仅涉及雨水排放。雨水主要收集至道路内侧的边沟内，排往下游公路排水沟。</w:t>
      </w:r>
    </w:p>
    <w:p>
      <w:pPr>
        <w:ind w:firstLine="480"/>
        <w:rPr>
          <w:rFonts w:hint="eastAsia"/>
          <w:color w:val="auto"/>
        </w:rPr>
      </w:pPr>
      <w:r>
        <w:rPr>
          <w:rFonts w:hint="eastAsia"/>
          <w:color w:val="auto"/>
        </w:rPr>
        <w:t>二、</w:t>
      </w:r>
      <w:r>
        <w:rPr>
          <w:rFonts w:hint="eastAsia"/>
          <w:bCs/>
          <w:color w:val="auto"/>
        </w:rPr>
        <w:t>交通安全及管理设施</w:t>
      </w:r>
    </w:p>
    <w:p>
      <w:pPr>
        <w:ind w:firstLine="480"/>
        <w:rPr>
          <w:rFonts w:hint="eastAsia"/>
          <w:color w:val="auto"/>
        </w:rPr>
      </w:pPr>
      <w:r>
        <w:rPr>
          <w:rFonts w:hint="eastAsia"/>
          <w:color w:val="auto"/>
        </w:rPr>
        <w:t>道路交通安全及管理设施包括交通标志、标线、交通信号灯和交通智能监控系统等；均布置在路基征地红线内，其占地已统计到道路工程区。</w:t>
      </w:r>
    </w:p>
    <w:p>
      <w:pPr>
        <w:ind w:firstLine="480"/>
        <w:rPr>
          <w:rFonts w:hint="eastAsia"/>
          <w:color w:val="auto"/>
        </w:rPr>
      </w:pPr>
      <w:r>
        <w:rPr>
          <w:rFonts w:hint="eastAsia"/>
          <w:color w:val="auto"/>
        </w:rPr>
        <w:t>三、照明工程</w:t>
      </w:r>
    </w:p>
    <w:p>
      <w:pPr>
        <w:ind w:firstLine="480"/>
        <w:rPr>
          <w:rFonts w:hint="eastAsia"/>
          <w:color w:val="auto"/>
        </w:rPr>
      </w:pPr>
      <w:r>
        <w:rPr>
          <w:rFonts w:hint="eastAsia"/>
          <w:color w:val="auto"/>
        </w:rPr>
        <w:t>1、路灯布置</w:t>
      </w:r>
    </w:p>
    <w:p>
      <w:pPr>
        <w:ind w:firstLine="480"/>
        <w:rPr>
          <w:rFonts w:hint="eastAsia"/>
          <w:color w:val="auto"/>
        </w:rPr>
      </w:pPr>
      <w:r>
        <w:rPr>
          <w:rFonts w:hint="eastAsia"/>
          <w:color w:val="auto"/>
        </w:rPr>
        <w:t>在道路两外侧靠边缘绿化带设置路灯，布置间距为30m。灯柱采用内外镀锌钢制灯杆，架高8.5m。采用高压钠灯或新型光源灯。道路照明度不低于15L×路灯电缆PVC管埋于地下。电源由路灯控制系统集中控制。路灯系统由专业设计单位统一设计。</w:t>
      </w:r>
    </w:p>
    <w:p>
      <w:pPr>
        <w:ind w:firstLine="480"/>
        <w:rPr>
          <w:rFonts w:hint="eastAsia"/>
          <w:color w:val="auto"/>
        </w:rPr>
      </w:pPr>
      <w:r>
        <w:rPr>
          <w:rFonts w:hint="eastAsia"/>
          <w:color w:val="auto"/>
        </w:rPr>
        <w:t>2、照明供配电</w:t>
      </w:r>
      <w:r>
        <w:rPr>
          <w:color w:val="auto"/>
        </w:rPr>
        <w:tab/>
      </w:r>
    </w:p>
    <w:p>
      <w:pPr>
        <w:ind w:firstLine="480"/>
        <w:rPr>
          <w:rFonts w:hint="eastAsia"/>
          <w:color w:val="auto"/>
        </w:rPr>
      </w:pPr>
      <w:r>
        <w:rPr>
          <w:rFonts w:hint="eastAsia"/>
          <w:color w:val="auto"/>
        </w:rPr>
        <w:t>（1）供电电源应引自附近的高压供电网，并采用双备份电源，且引专线供电，与生活电相分开，自成体系。相关的电缆和光缆沿路线走向，布设于规划设置的管道内。电缆和光缆各设一条管道，且要求全线贯通。</w:t>
      </w:r>
    </w:p>
    <w:p>
      <w:pPr>
        <w:ind w:firstLine="480"/>
        <w:rPr>
          <w:rFonts w:hint="eastAsia"/>
          <w:color w:val="auto"/>
        </w:rPr>
      </w:pPr>
      <w:r>
        <w:rPr>
          <w:rFonts w:hint="eastAsia"/>
          <w:color w:val="auto"/>
        </w:rPr>
        <w:t>（2）道路沿线根据路灯负荷设变配电所。变配电所内设成套电气设备，变压器选用干式变压器。</w:t>
      </w:r>
    </w:p>
    <w:p>
      <w:pPr>
        <w:rPr>
          <w:rFonts w:hint="eastAsia"/>
          <w:color w:val="auto"/>
          <w:lang w:val="en-US" w:eastAsia="zh-CN"/>
        </w:rPr>
      </w:pPr>
      <w:r>
        <w:rPr>
          <w:rFonts w:hint="eastAsia"/>
          <w:color w:val="auto"/>
        </w:rPr>
        <w:t>路灯及照明供配电均布置在路基征地红线内，其占地已统计到道路工程区。</w:t>
      </w:r>
    </w:p>
    <w:p>
      <w:pPr>
        <w:keepNext w:val="0"/>
        <w:keepLines w:val="0"/>
        <w:pageBreakBefore w:val="0"/>
        <w:widowControl w:val="0"/>
        <w:kinsoku/>
        <w:wordWrap/>
        <w:overflowPunct/>
        <w:topLinePunct/>
        <w:autoSpaceDE/>
        <w:autoSpaceDN/>
        <w:bidi w:val="0"/>
        <w:adjustRightInd w:val="0"/>
        <w:snapToGrid w:val="0"/>
        <w:spacing w:before="164" w:beforeLines="50" w:after="0" w:afterLines="0" w:line="360" w:lineRule="auto"/>
        <w:ind w:left="0" w:leftChars="0" w:right="0" w:rightChars="0" w:firstLine="458" w:firstLineChars="191"/>
        <w:jc w:val="both"/>
        <w:textAlignment w:val="auto"/>
        <w:outlineLvl w:val="9"/>
        <w:rPr>
          <w:rFonts w:hint="eastAsia" w:eastAsia="仿宋_GB2312"/>
          <w:color w:val="auto"/>
          <w:lang w:val="en-US" w:eastAsia="zh-CN"/>
        </w:rPr>
      </w:pPr>
      <w:r>
        <w:rPr>
          <w:rFonts w:hint="eastAsia"/>
          <w:color w:val="auto"/>
          <w:lang w:val="en-US" w:eastAsia="zh-CN"/>
        </w:rPr>
        <w:t>二、项目分区</w:t>
      </w:r>
    </w:p>
    <w:p>
      <w:pPr>
        <w:keepNext w:val="0"/>
        <w:keepLines w:val="0"/>
        <w:pageBreakBefore w:val="0"/>
        <w:widowControl w:val="0"/>
        <w:kinsoku/>
        <w:wordWrap/>
        <w:overflowPunct/>
        <w:topLinePunct/>
        <w:autoSpaceDE/>
        <w:autoSpaceDN/>
        <w:bidi w:val="0"/>
        <w:adjustRightInd w:val="0"/>
        <w:snapToGrid w:val="0"/>
        <w:spacing w:before="164" w:beforeLines="50" w:after="0" w:afterLines="0" w:line="360" w:lineRule="auto"/>
        <w:ind w:left="0" w:leftChars="0" w:right="0" w:rightChars="0" w:firstLine="458" w:firstLineChars="191"/>
        <w:jc w:val="both"/>
        <w:textAlignment w:val="auto"/>
        <w:outlineLvl w:val="9"/>
        <w:rPr>
          <w:rFonts w:hint="eastAsia"/>
          <w:color w:val="auto"/>
          <w:lang w:val="en-US" w:eastAsia="zh-CN"/>
        </w:rPr>
      </w:pPr>
      <w:r>
        <w:rPr>
          <w:rFonts w:hint="eastAsia"/>
          <w:color w:val="auto"/>
          <w:lang w:val="en-US" w:eastAsia="zh-CN"/>
        </w:rPr>
        <w:t>根据</w:t>
      </w:r>
      <w:r>
        <w:rPr>
          <w:rFonts w:hint="eastAsia" w:eastAsia="仿宋_GB2312"/>
          <w:color w:val="auto"/>
          <w:lang w:val="en-US" w:eastAsia="zh-CN"/>
        </w:rPr>
        <w:t>本</w:t>
      </w:r>
      <w:r>
        <w:rPr>
          <w:rFonts w:hint="eastAsia"/>
          <w:color w:val="auto"/>
          <w:lang w:val="en-US" w:eastAsia="zh-CN"/>
        </w:rPr>
        <w:t>项目水土保持</w:t>
      </w:r>
      <w:r>
        <w:rPr>
          <w:rFonts w:hint="eastAsia" w:eastAsia="仿宋_GB2312"/>
          <w:color w:val="auto"/>
          <w:lang w:val="en-US" w:eastAsia="zh-CN"/>
        </w:rPr>
        <w:t>方案</w:t>
      </w:r>
      <w:r>
        <w:rPr>
          <w:rFonts w:hint="eastAsia"/>
          <w:color w:val="auto"/>
          <w:lang w:val="en-US" w:eastAsia="zh-CN"/>
        </w:rPr>
        <w:t>，结合本项目的特点，G320线普安江西坡至三板桥段改扩建工程（县城段）建设水土流失防治分区划分为3个一级区，即路基区、渣场区和附属工程；6个二级防治亚区，即路基区、渣场区、施工用电、施工用水、施工生产区、临时堆土场。由于项目建设未使用弃渣场，</w:t>
      </w:r>
      <w:r>
        <w:rPr>
          <w:color w:val="auto"/>
        </w:rPr>
        <w:t>本项目建设离县城较近，住宿和水电使用方便，临时堆土于路基工程区内，未单独征占地</w:t>
      </w:r>
      <w:r>
        <w:rPr>
          <w:rFonts w:hint="eastAsia"/>
          <w:color w:val="auto"/>
          <w:lang w:eastAsia="zh-CN"/>
        </w:rPr>
        <w:t>。因此，</w:t>
      </w:r>
      <w:r>
        <w:rPr>
          <w:rFonts w:hint="eastAsia"/>
          <w:color w:val="auto"/>
          <w:lang w:val="en-US" w:eastAsia="zh-CN"/>
        </w:rPr>
        <w:t>监测小组根据实际情况将本项目水土流失防治分区划分为1个一级区，即路基工程区，具体分区如下：</w:t>
      </w:r>
    </w:p>
    <w:p>
      <w:pPr>
        <w:pStyle w:val="17"/>
        <w:rPr>
          <w:rFonts w:hint="eastAsia"/>
          <w:color w:val="auto"/>
          <w:lang w:val="en-US" w:eastAsia="zh-CN"/>
        </w:rPr>
      </w:pPr>
      <w:r>
        <w:rPr>
          <w:rFonts w:hint="eastAsia"/>
          <w:color w:val="auto"/>
          <w:lang w:val="en-US" w:eastAsia="zh-CN"/>
        </w:rPr>
        <w:t>1-3 项目区水土流失防治区表</w:t>
      </w:r>
    </w:p>
    <w:tbl>
      <w:tblPr>
        <w:tblStyle w:val="11"/>
        <w:tblpPr w:leftFromText="180" w:rightFromText="180" w:vertAnchor="text" w:horzAnchor="page" w:tblpXSpec="center" w:tblpY="50"/>
        <w:tblOverlap w:val="never"/>
        <w:tblW w:w="5000" w:type="pct"/>
        <w:jc w:val="center"/>
        <w:tblLayout w:type="autofit"/>
        <w:tblCellMar>
          <w:top w:w="15" w:type="dxa"/>
          <w:left w:w="15" w:type="dxa"/>
          <w:bottom w:w="15" w:type="dxa"/>
          <w:right w:w="15" w:type="dxa"/>
        </w:tblCellMar>
      </w:tblPr>
      <w:tblGrid>
        <w:gridCol w:w="8817"/>
      </w:tblGrid>
      <w:tr>
        <w:tblPrEx>
          <w:tblCellMar>
            <w:top w:w="15" w:type="dxa"/>
            <w:left w:w="15" w:type="dxa"/>
            <w:bottom w:w="15" w:type="dxa"/>
            <w:right w:w="15" w:type="dxa"/>
          </w:tblCellMar>
        </w:tblPrEx>
        <w:trPr>
          <w:trHeight w:val="227" w:hRule="atLeast"/>
          <w:jc w:val="center"/>
        </w:trPr>
        <w:tc>
          <w:tcPr>
            <w:tcW w:w="5000" w:type="pct"/>
            <w:tcBorders>
              <w:top w:val="single" w:color="000000" w:sz="4" w:space="0"/>
              <w:left w:val="single" w:color="000000" w:sz="4" w:space="0"/>
              <w:bottom w:val="single" w:color="000000" w:sz="4" w:space="0"/>
              <w:right w:val="single" w:color="000000" w:sz="4" w:space="0"/>
            </w:tcBorders>
            <w:vAlign w:val="center"/>
          </w:tcPr>
          <w:p>
            <w:pPr>
              <w:pStyle w:val="16"/>
              <w:jc w:val="center"/>
              <w:rPr>
                <w:color w:val="auto"/>
              </w:rPr>
            </w:pPr>
            <w:r>
              <w:rPr>
                <w:color w:val="auto"/>
              </w:rPr>
              <w:t>项目组成</w:t>
            </w:r>
          </w:p>
        </w:tc>
      </w:tr>
      <w:tr>
        <w:tblPrEx>
          <w:tblCellMar>
            <w:top w:w="15" w:type="dxa"/>
            <w:left w:w="15" w:type="dxa"/>
            <w:bottom w:w="15" w:type="dxa"/>
            <w:right w:w="15" w:type="dxa"/>
          </w:tblCellMar>
        </w:tblPrEx>
        <w:trPr>
          <w:trHeight w:val="364" w:hRule="atLeast"/>
          <w:jc w:val="center"/>
        </w:trPr>
        <w:tc>
          <w:tcPr>
            <w:tcW w:w="5000" w:type="pct"/>
            <w:tcBorders>
              <w:top w:val="single" w:color="000000" w:sz="4" w:space="0"/>
              <w:left w:val="single" w:color="000000" w:sz="4" w:space="0"/>
              <w:bottom w:val="single" w:color="000000" w:sz="4" w:space="0"/>
              <w:right w:val="single" w:color="000000" w:sz="4" w:space="0"/>
            </w:tcBorders>
            <w:vAlign w:val="center"/>
          </w:tcPr>
          <w:p>
            <w:pPr>
              <w:pStyle w:val="16"/>
              <w:jc w:val="center"/>
              <w:rPr>
                <w:color w:val="auto"/>
              </w:rPr>
            </w:pPr>
            <w:r>
              <w:rPr>
                <w:color w:val="auto"/>
              </w:rPr>
              <w:t>一级分区</w:t>
            </w:r>
          </w:p>
        </w:tc>
      </w:tr>
      <w:tr>
        <w:tblPrEx>
          <w:tblCellMar>
            <w:top w:w="15" w:type="dxa"/>
            <w:left w:w="15" w:type="dxa"/>
            <w:bottom w:w="15" w:type="dxa"/>
            <w:right w:w="15" w:type="dxa"/>
          </w:tblCellMar>
        </w:tblPrEx>
        <w:trPr>
          <w:trHeight w:val="227" w:hRule="atLeast"/>
          <w:jc w:val="center"/>
        </w:trPr>
        <w:tc>
          <w:tcPr>
            <w:tcW w:w="5000" w:type="pct"/>
            <w:tcBorders>
              <w:top w:val="single" w:color="000000" w:sz="4" w:space="0"/>
              <w:left w:val="single" w:color="000000" w:sz="4" w:space="0"/>
              <w:bottom w:val="single" w:color="000000" w:sz="4" w:space="0"/>
              <w:right w:val="single" w:color="000000" w:sz="4" w:space="0"/>
            </w:tcBorders>
            <w:vAlign w:val="center"/>
          </w:tcPr>
          <w:p>
            <w:pPr>
              <w:pStyle w:val="16"/>
              <w:jc w:val="center"/>
              <w:rPr>
                <w:color w:val="auto"/>
              </w:rPr>
            </w:pPr>
            <w:r>
              <w:rPr>
                <w:color w:val="auto"/>
              </w:rPr>
              <w:t>路基工程区</w:t>
            </w:r>
          </w:p>
        </w:tc>
      </w:tr>
    </w:tbl>
    <w:p>
      <w:pPr>
        <w:keepNext w:val="0"/>
        <w:keepLines w:val="0"/>
        <w:pageBreakBefore w:val="0"/>
        <w:widowControl w:val="0"/>
        <w:kinsoku/>
        <w:wordWrap/>
        <w:overflowPunct/>
        <w:topLinePunct/>
        <w:autoSpaceDE/>
        <w:autoSpaceDN/>
        <w:bidi w:val="0"/>
        <w:adjustRightInd w:val="0"/>
        <w:snapToGrid w:val="0"/>
        <w:spacing w:before="164" w:beforeLines="50" w:after="0" w:afterLines="0" w:line="360" w:lineRule="auto"/>
        <w:ind w:left="0" w:leftChars="0" w:right="0" w:rightChars="0" w:firstLine="0" w:firstLineChars="0"/>
        <w:jc w:val="both"/>
        <w:textAlignment w:val="auto"/>
        <w:outlineLvl w:val="9"/>
        <w:rPr>
          <w:rFonts w:hint="eastAsia" w:eastAsia="仿宋_GB2312"/>
          <w:color w:val="auto"/>
          <w:lang w:val="en-US" w:eastAsia="zh-CN"/>
        </w:rPr>
      </w:pPr>
    </w:p>
    <w:p>
      <w:pPr>
        <w:pStyle w:val="4"/>
        <w:rPr>
          <w:color w:val="auto"/>
        </w:rPr>
      </w:pPr>
      <w:bookmarkStart w:id="17" w:name="_Toc400529661"/>
      <w:bookmarkStart w:id="18" w:name="_Toc400530762"/>
      <w:bookmarkStart w:id="19" w:name="_Toc371174593"/>
      <w:r>
        <w:rPr>
          <w:rFonts w:hint="eastAsia"/>
          <w:color w:val="auto"/>
          <w:lang w:val="en-US" w:eastAsia="zh-CN"/>
        </w:rPr>
        <w:t>1.1.4</w:t>
      </w:r>
      <w:r>
        <w:rPr>
          <w:color w:val="auto"/>
        </w:rPr>
        <w:t>投资</w:t>
      </w:r>
    </w:p>
    <w:p>
      <w:pPr>
        <w:rPr>
          <w:rFonts w:ascii="Times New Roman" w:hAnsi="Times New Roman" w:eastAsia="仿宋_GB2312" w:cs="Times New Roman"/>
          <w:color w:val="auto"/>
          <w:spacing w:val="0"/>
          <w:sz w:val="24"/>
          <w:highlight w:val="none"/>
        </w:rPr>
      </w:pPr>
      <w:r>
        <w:rPr>
          <w:rFonts w:hint="eastAsia"/>
          <w:color w:val="auto"/>
        </w:rPr>
        <w:t>工程总投资4008.34万元(其中土建工程投资为3073.06万元)。</w:t>
      </w:r>
    </w:p>
    <w:p>
      <w:pPr>
        <w:pStyle w:val="4"/>
        <w:rPr>
          <w:color w:val="auto"/>
        </w:rPr>
      </w:pPr>
      <w:r>
        <w:rPr>
          <w:rFonts w:hint="eastAsia"/>
          <w:color w:val="auto"/>
          <w:lang w:val="en-US" w:eastAsia="zh-CN"/>
        </w:rPr>
        <w:t>1.1.5</w:t>
      </w:r>
      <w:r>
        <w:rPr>
          <w:color w:val="auto"/>
        </w:rPr>
        <w:t>占地面积</w:t>
      </w:r>
    </w:p>
    <w:p>
      <w:pPr>
        <w:ind w:firstLine="480"/>
        <w:rPr>
          <w:rFonts w:hint="eastAsia"/>
          <w:color w:val="auto"/>
        </w:rPr>
      </w:pPr>
      <w:r>
        <w:rPr>
          <w:rFonts w:hint="eastAsia"/>
          <w:color w:val="auto"/>
        </w:rPr>
        <w:t>根据本项目水土保持方案，本工程项目建设区占地面积9.11hm</w:t>
      </w:r>
      <w:r>
        <w:rPr>
          <w:rFonts w:hint="eastAsia"/>
          <w:color w:val="auto"/>
          <w:vertAlign w:val="superscript"/>
        </w:rPr>
        <w:t>2</w:t>
      </w:r>
      <w:r>
        <w:rPr>
          <w:rFonts w:hint="eastAsia"/>
          <w:color w:val="auto"/>
        </w:rPr>
        <w:t>，其中永久占地面积为</w:t>
      </w:r>
      <w:r>
        <w:rPr>
          <w:color w:val="auto"/>
        </w:rPr>
        <w:t>8.82</w:t>
      </w:r>
      <w:r>
        <w:rPr>
          <w:rFonts w:hint="eastAsia"/>
          <w:color w:val="auto"/>
        </w:rPr>
        <w:t>hm</w:t>
      </w:r>
      <w:r>
        <w:rPr>
          <w:rFonts w:hint="eastAsia"/>
          <w:color w:val="auto"/>
          <w:vertAlign w:val="superscript"/>
        </w:rPr>
        <w:t>2</w:t>
      </w:r>
      <w:r>
        <w:rPr>
          <w:rFonts w:hint="eastAsia"/>
          <w:color w:val="auto"/>
        </w:rPr>
        <w:t>，临时占地面积为</w:t>
      </w:r>
      <w:r>
        <w:rPr>
          <w:color w:val="auto"/>
        </w:rPr>
        <w:t>0.29</w:t>
      </w:r>
      <w:r>
        <w:rPr>
          <w:rFonts w:hint="eastAsia"/>
          <w:color w:val="auto"/>
        </w:rPr>
        <w:t>hm</w:t>
      </w:r>
      <w:r>
        <w:rPr>
          <w:rFonts w:hint="eastAsia"/>
          <w:color w:val="auto"/>
          <w:vertAlign w:val="superscript"/>
        </w:rPr>
        <w:t>2</w:t>
      </w:r>
      <w:r>
        <w:rPr>
          <w:rFonts w:hint="eastAsia"/>
          <w:color w:val="auto"/>
        </w:rPr>
        <w:t>。</w:t>
      </w:r>
    </w:p>
    <w:p>
      <w:pPr>
        <w:spacing w:line="360" w:lineRule="auto"/>
        <w:ind w:firstLine="560"/>
        <w:rPr>
          <w:rFonts w:hint="eastAsia" w:ascii="Times New Roman" w:hAnsi="Times New Roman" w:eastAsia="仿宋_GB2312" w:cs="Times New Roman"/>
          <w:color w:val="auto"/>
          <w:spacing w:val="0"/>
          <w:sz w:val="24"/>
        </w:rPr>
      </w:pPr>
      <w:r>
        <w:rPr>
          <w:rFonts w:hint="eastAsia"/>
          <w:color w:val="auto"/>
        </w:rPr>
        <w:t>根据建设单位</w:t>
      </w:r>
      <w:r>
        <w:rPr>
          <w:color w:val="auto"/>
        </w:rPr>
        <w:t>提供</w:t>
      </w:r>
      <w:r>
        <w:rPr>
          <w:rFonts w:hint="eastAsia"/>
          <w:color w:val="auto"/>
        </w:rPr>
        <w:t>资料及现场实际监测，本项目建设实际总占地</w:t>
      </w:r>
      <w:r>
        <w:rPr>
          <w:color w:val="auto"/>
        </w:rPr>
        <w:t>5.43</w:t>
      </w:r>
      <w:r>
        <w:rPr>
          <w:rFonts w:hint="eastAsia"/>
          <w:color w:val="auto"/>
        </w:rPr>
        <w:t>hm</w:t>
      </w:r>
      <w:r>
        <w:rPr>
          <w:rFonts w:hint="eastAsia"/>
          <w:color w:val="auto"/>
          <w:vertAlign w:val="superscript"/>
        </w:rPr>
        <w:t>2</w:t>
      </w:r>
      <w:r>
        <w:rPr>
          <w:rFonts w:hint="eastAsia"/>
          <w:color w:val="auto"/>
        </w:rPr>
        <w:t>，均为永久</w:t>
      </w:r>
      <w:r>
        <w:rPr>
          <w:color w:val="auto"/>
        </w:rPr>
        <w:t>占地</w:t>
      </w:r>
      <w:r>
        <w:rPr>
          <w:rFonts w:hint="eastAsia"/>
          <w:color w:val="auto"/>
        </w:rPr>
        <w:t>。</w:t>
      </w:r>
      <w:r>
        <w:rPr>
          <w:rFonts w:eastAsia="仿宋_GB2312"/>
          <w:color w:val="auto"/>
        </w:rPr>
        <w:t>占地类型及数量详见表</w:t>
      </w:r>
      <w:r>
        <w:rPr>
          <w:rFonts w:hint="eastAsia" w:eastAsia="仿宋_GB2312"/>
          <w:color w:val="auto"/>
          <w:lang w:val="en-US" w:eastAsia="zh-CN"/>
        </w:rPr>
        <w:t>1-</w:t>
      </w:r>
      <w:r>
        <w:rPr>
          <w:rFonts w:hint="eastAsia"/>
          <w:color w:val="auto"/>
          <w:lang w:val="en-US" w:eastAsia="zh-CN"/>
        </w:rPr>
        <w:t>4</w:t>
      </w:r>
      <w:r>
        <w:rPr>
          <w:rFonts w:hint="eastAsia" w:ascii="Times New Roman" w:hAnsi="Times New Roman" w:eastAsia="仿宋_GB2312" w:cs="Times New Roman"/>
          <w:color w:val="auto"/>
          <w:spacing w:val="0"/>
          <w:sz w:val="24"/>
        </w:rPr>
        <w:t>。</w:t>
      </w:r>
    </w:p>
    <w:p>
      <w:pPr>
        <w:pStyle w:val="6"/>
        <w:rPr>
          <w:rFonts w:hint="eastAsia" w:ascii="Times New Roman" w:hAnsi="Times New Roman" w:eastAsia="仿宋_GB2312" w:cs="Times New Roman"/>
          <w:b/>
          <w:bCs/>
          <w:color w:val="auto"/>
          <w:spacing w:val="0"/>
          <w:sz w:val="24"/>
          <w:vertAlign w:val="superscript"/>
          <w:lang w:eastAsia="zh-CN"/>
        </w:rPr>
      </w:pPr>
      <w:r>
        <w:rPr>
          <w:rFonts w:ascii="Times New Roman" w:hAnsi="Times New Roman" w:eastAsia="仿宋_GB2312" w:cs="Times New Roman"/>
          <w:color w:val="auto"/>
          <w:spacing w:val="0"/>
          <w:sz w:val="24"/>
        </w:rPr>
        <w:t>表</w:t>
      </w:r>
      <w:r>
        <w:rPr>
          <w:rFonts w:hint="eastAsia" w:ascii="Times New Roman" w:hAnsi="Times New Roman" w:eastAsia="仿宋_GB2312" w:cs="Times New Roman"/>
          <w:color w:val="auto"/>
          <w:spacing w:val="0"/>
          <w:sz w:val="24"/>
          <w:lang w:val="en-US" w:eastAsia="zh-CN"/>
        </w:rPr>
        <w:t>1</w:t>
      </w:r>
      <w:r>
        <w:rPr>
          <w:rFonts w:ascii="Times New Roman" w:hAnsi="Times New Roman" w:eastAsia="仿宋_GB2312" w:cs="Times New Roman"/>
          <w:color w:val="auto"/>
          <w:spacing w:val="0"/>
          <w:sz w:val="24"/>
        </w:rPr>
        <w:t>-</w:t>
      </w:r>
      <w:r>
        <w:rPr>
          <w:rFonts w:hint="eastAsia" w:eastAsia="仿宋_GB2312" w:cs="Times New Roman"/>
          <w:color w:val="auto"/>
          <w:spacing w:val="0"/>
          <w:sz w:val="24"/>
          <w:lang w:val="en-US" w:eastAsia="zh-CN"/>
        </w:rPr>
        <w:t>4</w:t>
      </w:r>
      <w:r>
        <w:rPr>
          <w:rFonts w:ascii="Times New Roman" w:hAnsi="Times New Roman" w:eastAsia="仿宋_GB2312" w:cs="Times New Roman"/>
          <w:color w:val="auto"/>
          <w:spacing w:val="0"/>
          <w:sz w:val="24"/>
        </w:rPr>
        <w:t xml:space="preserve">        项目占地情况表              单位：h</w:t>
      </w:r>
      <w:r>
        <w:rPr>
          <w:rFonts w:hint="eastAsia" w:eastAsia="仿宋_GB2312" w:cs="Times New Roman"/>
          <w:color w:val="auto"/>
          <w:spacing w:val="0"/>
          <w:sz w:val="24"/>
          <w:lang w:eastAsia="zh-CN"/>
        </w:rPr>
        <w:t>m</w:t>
      </w:r>
      <w:r>
        <w:rPr>
          <w:rFonts w:hint="eastAsia" w:eastAsia="仿宋_GB2312" w:cs="Times New Roman"/>
          <w:color w:val="auto"/>
          <w:spacing w:val="0"/>
          <w:sz w:val="24"/>
          <w:vertAlign w:val="superscript"/>
          <w:lang w:val="en-US" w:eastAsia="zh-CN"/>
        </w:rPr>
        <w:t>2</w:t>
      </w:r>
    </w:p>
    <w:tbl>
      <w:tblPr>
        <w:tblStyle w:val="11"/>
        <w:tblW w:w="88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07"/>
        <w:gridCol w:w="1469"/>
        <w:gridCol w:w="1470"/>
        <w:gridCol w:w="1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4407" w:type="dxa"/>
            <w:noWrap w:val="0"/>
            <w:tcMar>
              <w:top w:w="15" w:type="dxa"/>
              <w:left w:w="15" w:type="dxa"/>
              <w:right w:w="15" w:type="dxa"/>
            </w:tcMar>
            <w:vAlign w:val="center"/>
          </w:tcPr>
          <w:p>
            <w:pPr>
              <w:pStyle w:val="16"/>
              <w:rPr>
                <w:rFonts w:hint="default"/>
                <w:color w:val="auto"/>
              </w:rPr>
            </w:pPr>
            <w:r>
              <w:rPr>
                <w:rFonts w:hint="default"/>
                <w:color w:val="auto"/>
              </w:rPr>
              <w:t>项目组成</w:t>
            </w:r>
          </w:p>
        </w:tc>
        <w:tc>
          <w:tcPr>
            <w:tcW w:w="1469" w:type="dxa"/>
            <w:noWrap w:val="0"/>
            <w:tcMar>
              <w:top w:w="15" w:type="dxa"/>
              <w:left w:w="15" w:type="dxa"/>
              <w:right w:w="15" w:type="dxa"/>
            </w:tcMar>
            <w:vAlign w:val="center"/>
          </w:tcPr>
          <w:p>
            <w:pPr>
              <w:pStyle w:val="16"/>
              <w:rPr>
                <w:rFonts w:hint="default"/>
                <w:color w:val="auto"/>
              </w:rPr>
            </w:pPr>
            <w:r>
              <w:rPr>
                <w:rFonts w:hint="default"/>
                <w:color w:val="auto"/>
              </w:rPr>
              <w:t>永久占地</w:t>
            </w:r>
          </w:p>
        </w:tc>
        <w:tc>
          <w:tcPr>
            <w:tcW w:w="1470" w:type="dxa"/>
            <w:noWrap w:val="0"/>
            <w:tcMar>
              <w:top w:w="15" w:type="dxa"/>
              <w:left w:w="15" w:type="dxa"/>
              <w:right w:w="15" w:type="dxa"/>
            </w:tcMar>
            <w:vAlign w:val="center"/>
          </w:tcPr>
          <w:p>
            <w:pPr>
              <w:pStyle w:val="16"/>
              <w:rPr>
                <w:rFonts w:hint="default"/>
                <w:color w:val="auto"/>
              </w:rPr>
            </w:pPr>
            <w:r>
              <w:rPr>
                <w:rFonts w:hint="default"/>
                <w:color w:val="auto"/>
              </w:rPr>
              <w:t>临时占地</w:t>
            </w:r>
          </w:p>
        </w:tc>
        <w:tc>
          <w:tcPr>
            <w:tcW w:w="1469" w:type="dxa"/>
            <w:noWrap w:val="0"/>
            <w:tcMar>
              <w:top w:w="15" w:type="dxa"/>
              <w:left w:w="15" w:type="dxa"/>
              <w:right w:w="15" w:type="dxa"/>
            </w:tcMar>
            <w:vAlign w:val="center"/>
          </w:tcPr>
          <w:p>
            <w:pPr>
              <w:pStyle w:val="16"/>
              <w:rPr>
                <w:color w:val="auto"/>
              </w:rPr>
            </w:pPr>
            <w:r>
              <w:rPr>
                <w:color w:val="auto"/>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407" w:type="dxa"/>
            <w:noWrap w:val="0"/>
            <w:tcMar>
              <w:top w:w="15" w:type="dxa"/>
              <w:left w:w="15" w:type="dxa"/>
              <w:right w:w="15" w:type="dxa"/>
            </w:tcMar>
            <w:vAlign w:val="center"/>
          </w:tcPr>
          <w:p>
            <w:pPr>
              <w:pStyle w:val="16"/>
              <w:rPr>
                <w:rFonts w:hint="default"/>
                <w:color w:val="auto"/>
              </w:rPr>
            </w:pPr>
            <w:r>
              <w:rPr>
                <w:rFonts w:hint="default"/>
                <w:color w:val="auto"/>
              </w:rPr>
              <w:t>路基工程区</w:t>
            </w:r>
          </w:p>
        </w:tc>
        <w:tc>
          <w:tcPr>
            <w:tcW w:w="1469" w:type="dxa"/>
            <w:noWrap w:val="0"/>
            <w:tcMar>
              <w:top w:w="15" w:type="dxa"/>
              <w:left w:w="15" w:type="dxa"/>
              <w:right w:w="15" w:type="dxa"/>
            </w:tcMar>
            <w:vAlign w:val="center"/>
          </w:tcPr>
          <w:p>
            <w:pPr>
              <w:pStyle w:val="16"/>
              <w:rPr>
                <w:color w:val="auto"/>
              </w:rPr>
            </w:pPr>
            <w:r>
              <w:rPr>
                <w:rFonts w:hint="default"/>
                <w:color w:val="auto"/>
              </w:rPr>
              <w:t>5.43</w:t>
            </w:r>
          </w:p>
        </w:tc>
        <w:tc>
          <w:tcPr>
            <w:tcW w:w="1470" w:type="dxa"/>
            <w:noWrap w:val="0"/>
            <w:tcMar>
              <w:top w:w="15" w:type="dxa"/>
              <w:left w:w="15" w:type="dxa"/>
              <w:right w:w="15" w:type="dxa"/>
            </w:tcMar>
            <w:vAlign w:val="center"/>
          </w:tcPr>
          <w:p>
            <w:pPr>
              <w:pStyle w:val="16"/>
              <w:rPr>
                <w:color w:val="auto"/>
              </w:rPr>
            </w:pPr>
            <w:r>
              <w:rPr>
                <w:color w:val="auto"/>
              </w:rPr>
              <w:t>0</w:t>
            </w:r>
          </w:p>
        </w:tc>
        <w:tc>
          <w:tcPr>
            <w:tcW w:w="1469" w:type="dxa"/>
            <w:noWrap w:val="0"/>
            <w:tcMar>
              <w:top w:w="15" w:type="dxa"/>
              <w:left w:w="15" w:type="dxa"/>
              <w:right w:w="15" w:type="dxa"/>
            </w:tcMar>
            <w:vAlign w:val="center"/>
          </w:tcPr>
          <w:p>
            <w:pPr>
              <w:pStyle w:val="16"/>
              <w:rPr>
                <w:color w:val="auto"/>
              </w:rPr>
            </w:pPr>
            <w:r>
              <w:rPr>
                <w:rFonts w:hint="default"/>
                <w:color w:val="auto"/>
              </w:rPr>
              <w:t>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407" w:type="dxa"/>
            <w:noWrap w:val="0"/>
            <w:tcMar>
              <w:top w:w="15" w:type="dxa"/>
              <w:left w:w="15" w:type="dxa"/>
              <w:right w:w="15" w:type="dxa"/>
            </w:tcMar>
            <w:vAlign w:val="center"/>
          </w:tcPr>
          <w:p>
            <w:pPr>
              <w:pStyle w:val="16"/>
              <w:rPr>
                <w:rFonts w:hint="default"/>
                <w:color w:val="auto"/>
              </w:rPr>
            </w:pPr>
            <w:r>
              <w:rPr>
                <w:rFonts w:hint="default"/>
                <w:color w:val="auto"/>
              </w:rPr>
              <w:t>合计</w:t>
            </w:r>
          </w:p>
        </w:tc>
        <w:tc>
          <w:tcPr>
            <w:tcW w:w="1469" w:type="dxa"/>
            <w:noWrap w:val="0"/>
            <w:tcMar>
              <w:top w:w="15" w:type="dxa"/>
              <w:left w:w="15" w:type="dxa"/>
              <w:right w:w="15" w:type="dxa"/>
            </w:tcMar>
            <w:vAlign w:val="center"/>
          </w:tcPr>
          <w:p>
            <w:pPr>
              <w:pStyle w:val="16"/>
              <w:rPr>
                <w:color w:val="auto"/>
              </w:rPr>
            </w:pPr>
            <w:r>
              <w:rPr>
                <w:rFonts w:hint="default"/>
                <w:color w:val="auto"/>
              </w:rPr>
              <w:t>5.43</w:t>
            </w:r>
          </w:p>
        </w:tc>
        <w:tc>
          <w:tcPr>
            <w:tcW w:w="1470" w:type="dxa"/>
            <w:noWrap w:val="0"/>
            <w:tcMar>
              <w:top w:w="15" w:type="dxa"/>
              <w:left w:w="15" w:type="dxa"/>
              <w:right w:w="15" w:type="dxa"/>
            </w:tcMar>
            <w:vAlign w:val="center"/>
          </w:tcPr>
          <w:p>
            <w:pPr>
              <w:pStyle w:val="16"/>
              <w:rPr>
                <w:color w:val="auto"/>
              </w:rPr>
            </w:pPr>
            <w:r>
              <w:rPr>
                <w:color w:val="auto"/>
              </w:rPr>
              <w:t>0</w:t>
            </w:r>
          </w:p>
        </w:tc>
        <w:tc>
          <w:tcPr>
            <w:tcW w:w="1469" w:type="dxa"/>
            <w:noWrap w:val="0"/>
            <w:tcMar>
              <w:top w:w="15" w:type="dxa"/>
              <w:left w:w="15" w:type="dxa"/>
              <w:right w:w="15" w:type="dxa"/>
            </w:tcMar>
            <w:vAlign w:val="center"/>
          </w:tcPr>
          <w:p>
            <w:pPr>
              <w:pStyle w:val="16"/>
              <w:rPr>
                <w:color w:val="auto"/>
              </w:rPr>
            </w:pPr>
            <w:r>
              <w:rPr>
                <w:rFonts w:hint="default"/>
                <w:color w:val="auto"/>
              </w:rPr>
              <w:t>5.43</w:t>
            </w:r>
          </w:p>
        </w:tc>
      </w:tr>
    </w:tbl>
    <w:p>
      <w:pPr>
        <w:ind w:left="0" w:leftChars="0" w:firstLine="0" w:firstLineChars="0"/>
        <w:rPr>
          <w:rFonts w:ascii="Times New Roman" w:hAnsi="Times New Roman" w:eastAsia="仿宋_GB2312" w:cs="Times New Roman"/>
          <w:color w:val="auto"/>
          <w:spacing w:val="0"/>
          <w:sz w:val="24"/>
        </w:rPr>
      </w:pPr>
    </w:p>
    <w:p>
      <w:pPr>
        <w:pStyle w:val="4"/>
        <w:rPr>
          <w:color w:val="auto"/>
        </w:rPr>
      </w:pPr>
      <w:r>
        <w:rPr>
          <w:rFonts w:hint="eastAsia"/>
          <w:color w:val="auto"/>
          <w:lang w:val="en-US" w:eastAsia="zh-CN"/>
        </w:rPr>
        <w:t>1.1.6</w:t>
      </w:r>
      <w:r>
        <w:rPr>
          <w:color w:val="auto"/>
        </w:rPr>
        <w:t>土石方量</w:t>
      </w:r>
    </w:p>
    <w:p>
      <w:pPr>
        <w:ind w:firstLine="480"/>
        <w:rPr>
          <w:rFonts w:hint="eastAsia"/>
          <w:color w:val="auto"/>
        </w:rPr>
      </w:pPr>
      <w:r>
        <w:rPr>
          <w:rFonts w:hint="eastAsia"/>
          <w:color w:val="auto"/>
        </w:rPr>
        <w:t>根据</w:t>
      </w:r>
      <w:r>
        <w:rPr>
          <w:color w:val="auto"/>
        </w:rPr>
        <w:t>本项目水土保持方案，</w:t>
      </w:r>
      <w:r>
        <w:rPr>
          <w:rFonts w:hint="eastAsia"/>
          <w:color w:val="auto"/>
        </w:rPr>
        <w:t>项目建设共开挖土石方26.86万m</w:t>
      </w:r>
      <w:r>
        <w:rPr>
          <w:rFonts w:hint="eastAsia"/>
          <w:color w:val="auto"/>
          <w:vertAlign w:val="superscript"/>
        </w:rPr>
        <w:t>3</w:t>
      </w:r>
      <w:r>
        <w:rPr>
          <w:rFonts w:hint="eastAsia"/>
          <w:color w:val="auto"/>
        </w:rPr>
        <w:t>（包括建筑垃圾量0.02万m</w:t>
      </w:r>
      <w:r>
        <w:rPr>
          <w:rFonts w:hint="eastAsia"/>
          <w:color w:val="auto"/>
          <w:vertAlign w:val="superscript"/>
        </w:rPr>
        <w:t>3</w:t>
      </w:r>
      <w:r>
        <w:rPr>
          <w:rFonts w:hint="eastAsia"/>
          <w:color w:val="auto"/>
        </w:rPr>
        <w:t>），回填土石方7.13万m</w:t>
      </w:r>
      <w:r>
        <w:rPr>
          <w:rFonts w:hint="eastAsia"/>
          <w:color w:val="auto"/>
          <w:vertAlign w:val="superscript"/>
        </w:rPr>
        <w:t>3</w:t>
      </w:r>
      <w:r>
        <w:rPr>
          <w:rFonts w:hint="eastAsia"/>
          <w:color w:val="auto"/>
        </w:rPr>
        <w:t>，弃方19.73万m</w:t>
      </w:r>
      <w:r>
        <w:rPr>
          <w:rFonts w:hint="eastAsia"/>
          <w:color w:val="auto"/>
          <w:vertAlign w:val="superscript"/>
        </w:rPr>
        <w:t>3</w:t>
      </w:r>
      <w:r>
        <w:rPr>
          <w:rFonts w:hint="eastAsia"/>
          <w:color w:val="auto"/>
        </w:rPr>
        <w:t>。</w:t>
      </w:r>
    </w:p>
    <w:p>
      <w:pPr>
        <w:spacing w:line="360" w:lineRule="auto"/>
        <w:rPr>
          <w:rFonts w:hint="eastAsia" w:ascii="Times New Roman" w:hAnsi="Times New Roman" w:eastAsia="仿宋_GB2312"/>
          <w:color w:val="auto"/>
          <w:kern w:val="44"/>
          <w:sz w:val="24"/>
          <w:lang w:eastAsia="zh-CN"/>
        </w:rPr>
      </w:pPr>
      <w:r>
        <w:rPr>
          <w:rFonts w:hint="eastAsia"/>
          <w:color w:val="auto"/>
        </w:rPr>
        <w:t>经建设单位</w:t>
      </w:r>
      <w:r>
        <w:rPr>
          <w:color w:val="auto"/>
        </w:rPr>
        <w:t>提供资料</w:t>
      </w:r>
      <w:r>
        <w:rPr>
          <w:rFonts w:hint="eastAsia"/>
          <w:color w:val="auto"/>
        </w:rPr>
        <w:t>及</w:t>
      </w:r>
      <w:r>
        <w:rPr>
          <w:color w:val="auto"/>
        </w:rPr>
        <w:t>调查结果</w:t>
      </w:r>
      <w:r>
        <w:rPr>
          <w:rFonts w:hint="eastAsia"/>
          <w:color w:val="auto"/>
        </w:rPr>
        <w:t>，本项目实际开挖土石方量</w:t>
      </w:r>
      <w:r>
        <w:rPr>
          <w:color w:val="auto"/>
        </w:rPr>
        <w:t>18.56</w:t>
      </w:r>
      <w:r>
        <w:rPr>
          <w:rFonts w:hint="eastAsia"/>
          <w:color w:val="auto"/>
        </w:rPr>
        <w:t>万m</w:t>
      </w:r>
      <w:r>
        <w:rPr>
          <w:rFonts w:hint="eastAsia"/>
          <w:color w:val="auto"/>
          <w:vertAlign w:val="superscript"/>
        </w:rPr>
        <w:t>3</w:t>
      </w:r>
      <w:r>
        <w:rPr>
          <w:rFonts w:hint="eastAsia"/>
          <w:color w:val="auto"/>
        </w:rPr>
        <w:t>，回填土石方量</w:t>
      </w:r>
      <w:r>
        <w:rPr>
          <w:color w:val="auto"/>
        </w:rPr>
        <w:t>9.66</w:t>
      </w:r>
      <w:r>
        <w:rPr>
          <w:rFonts w:hint="eastAsia"/>
          <w:color w:val="auto"/>
        </w:rPr>
        <w:t>万m</w:t>
      </w:r>
      <w:r>
        <w:rPr>
          <w:rFonts w:hint="eastAsia"/>
          <w:color w:val="auto"/>
          <w:vertAlign w:val="superscript"/>
        </w:rPr>
        <w:t>3</w:t>
      </w:r>
      <w:r>
        <w:rPr>
          <w:rFonts w:hint="eastAsia"/>
          <w:color w:val="auto"/>
        </w:rPr>
        <w:t>，</w:t>
      </w:r>
      <w:r>
        <w:rPr>
          <w:rFonts w:hint="eastAsia"/>
          <w:bCs/>
          <w:color w:val="auto"/>
        </w:rPr>
        <w:t>G320线普安江西坡至三板桥段改扩建工程建设</w:t>
      </w:r>
      <w:r>
        <w:rPr>
          <w:bCs/>
          <w:color w:val="auto"/>
        </w:rPr>
        <w:t>借用</w:t>
      </w:r>
      <w:r>
        <w:rPr>
          <w:color w:val="auto"/>
        </w:rPr>
        <w:t>8.90</w:t>
      </w:r>
      <w:r>
        <w:rPr>
          <w:rFonts w:hint="eastAsia"/>
          <w:color w:val="auto"/>
        </w:rPr>
        <w:t>万m</w:t>
      </w:r>
      <w:r>
        <w:rPr>
          <w:rFonts w:hint="eastAsia"/>
          <w:color w:val="auto"/>
          <w:vertAlign w:val="superscript"/>
        </w:rPr>
        <w:t>3</w:t>
      </w:r>
      <w:r>
        <w:rPr>
          <w:rFonts w:hint="eastAsia"/>
          <w:color w:val="auto"/>
        </w:rPr>
        <w:t>用于</w:t>
      </w:r>
      <w:r>
        <w:rPr>
          <w:color w:val="auto"/>
        </w:rPr>
        <w:t>项目回填</w:t>
      </w:r>
      <w:r>
        <w:rPr>
          <w:rFonts w:hint="eastAsia"/>
          <w:color w:val="auto"/>
        </w:rPr>
        <w:t>，无废弃</w:t>
      </w:r>
      <w:r>
        <w:rPr>
          <w:color w:val="auto"/>
        </w:rPr>
        <w:t>土石方</w:t>
      </w:r>
      <w:r>
        <w:rPr>
          <w:rFonts w:hint="eastAsia"/>
          <w:color w:val="auto"/>
        </w:rPr>
        <w:t>。</w:t>
      </w:r>
    </w:p>
    <w:p>
      <w:pPr>
        <w:pStyle w:val="6"/>
        <w:rPr>
          <w:rFonts w:ascii="Times New Roman" w:hAnsi="Times New Roman" w:eastAsia="仿宋_GB2312" w:cs="Times New Roman"/>
          <w:color w:val="auto"/>
          <w:spacing w:val="0"/>
          <w:sz w:val="24"/>
        </w:rPr>
        <w:sectPr>
          <w:headerReference r:id="rId7" w:type="default"/>
          <w:footerReference r:id="rId8" w:type="default"/>
          <w:pgSz w:w="11906" w:h="16838"/>
          <w:pgMar w:top="1304" w:right="1418" w:bottom="1247" w:left="1701" w:header="851" w:footer="992" w:gutter="0"/>
          <w:pgBorders>
            <w:top w:val="none" w:sz="0" w:space="0"/>
            <w:left w:val="none" w:sz="0" w:space="0"/>
            <w:bottom w:val="none" w:sz="0" w:space="0"/>
            <w:right w:val="none" w:sz="0" w:space="0"/>
          </w:pgBorders>
          <w:pgNumType w:fmt="decimal" w:start="1"/>
          <w:cols w:space="720" w:num="1"/>
          <w:docGrid w:linePitch="326" w:charSpace="0"/>
        </w:sectPr>
      </w:pPr>
    </w:p>
    <w:p>
      <w:pPr>
        <w:pStyle w:val="3"/>
        <w:rPr>
          <w:rFonts w:hint="eastAsia"/>
          <w:color w:val="auto"/>
          <w:lang w:val="en-US" w:eastAsia="zh-CN"/>
        </w:rPr>
      </w:pPr>
      <w:bookmarkStart w:id="20" w:name="_Toc21137"/>
      <w:r>
        <w:rPr>
          <w:rFonts w:hint="eastAsia"/>
          <w:color w:val="auto"/>
          <w:lang w:val="en-US" w:eastAsia="zh-CN"/>
        </w:rPr>
        <w:t>1.2.</w:t>
      </w:r>
      <w:r>
        <w:rPr>
          <w:rFonts w:hint="eastAsia"/>
          <w:color w:val="auto"/>
          <w:lang w:eastAsia="zh-CN"/>
        </w:rPr>
        <w:t>项目区概况</w:t>
      </w:r>
      <w:bookmarkEnd w:id="20"/>
    </w:p>
    <w:p>
      <w:pPr>
        <w:pStyle w:val="4"/>
        <w:rPr>
          <w:color w:val="auto"/>
        </w:rPr>
      </w:pPr>
      <w:r>
        <w:rPr>
          <w:rFonts w:hint="eastAsia"/>
          <w:color w:val="auto"/>
          <w:lang w:val="en-US" w:eastAsia="zh-CN"/>
        </w:rPr>
        <w:t>1.2.1</w:t>
      </w:r>
      <w:r>
        <w:rPr>
          <w:color w:val="auto"/>
        </w:rPr>
        <w:t>气象</w:t>
      </w:r>
    </w:p>
    <w:p>
      <w:pPr>
        <w:rPr>
          <w:rFonts w:ascii="Times New Roman" w:hAnsi="Times New Roman" w:eastAsia="仿宋_GB2312" w:cs="Times New Roman"/>
          <w:color w:val="auto"/>
          <w:spacing w:val="0"/>
        </w:rPr>
      </w:pPr>
      <w:r>
        <w:rPr>
          <w:color w:val="auto"/>
        </w:rPr>
        <w:t>项目区气候类型属于亚热带季风湿润气候。根据普安县气象站30年（1980年-2010年）观测资料，项目区冬无严寒，夏无酷暑，气候宜人。多年平均气温为14.0℃，极端最高气温33.4℃，最低-6.9℃，≥10℃有效积温4452℃，无霜期297天，年平均日照时数1563小时，有短期冰冻现象。多年平均降雨量1257mm，5～10月份为雨季，年均蒸发量875mm，年平均相对湿度78%。项目区一小时平均点雨量为45mm，10年一遇最大一小时降水量为68.85m，20年一遇最大一小时降水量为80.10mm。年平均风速为1.8m/s，风向主要以偏南风为主。主要灾害性天气为冰雹、暴雨、霜冻。</w:t>
      </w:r>
    </w:p>
    <w:p>
      <w:pPr>
        <w:pStyle w:val="4"/>
        <w:rPr>
          <w:color w:val="auto"/>
        </w:rPr>
      </w:pPr>
      <w:r>
        <w:rPr>
          <w:rFonts w:hint="eastAsia"/>
          <w:color w:val="auto"/>
          <w:lang w:val="en-US" w:eastAsia="zh-CN"/>
        </w:rPr>
        <w:t>1.2.2</w:t>
      </w:r>
      <w:r>
        <w:rPr>
          <w:color w:val="auto"/>
        </w:rPr>
        <w:t>水文</w:t>
      </w:r>
    </w:p>
    <w:p>
      <w:pPr>
        <w:bidi w:val="0"/>
        <w:rPr>
          <w:rFonts w:hint="eastAsia"/>
          <w:color w:val="auto"/>
        </w:rPr>
      </w:pPr>
      <w:r>
        <w:rPr>
          <w:rFonts w:hint="eastAsia"/>
          <w:color w:val="auto"/>
        </w:rPr>
        <w:t>1）地表水</w:t>
      </w:r>
    </w:p>
    <w:p>
      <w:pPr>
        <w:bidi w:val="0"/>
        <w:rPr>
          <w:rFonts w:hint="eastAsia"/>
          <w:color w:val="auto"/>
        </w:rPr>
      </w:pPr>
      <w:r>
        <w:rPr>
          <w:rFonts w:hint="eastAsia"/>
          <w:color w:val="auto"/>
        </w:rPr>
        <w:t>项目区水系属珠江流域北盘江水系。沿线主要地表河流为大桥河、罗细河。大桥河，流经盘水街道办，河流流量较小，接受大气降水补给、次级支流及溪沟补给。罗细河，从西至北流经南湖街道办境内的板桥社区、西陇村龙滩组，境内长5km，流域面积4.3km</w:t>
      </w:r>
      <w:r>
        <w:rPr>
          <w:rFonts w:hint="eastAsia"/>
          <w:color w:val="auto"/>
          <w:vertAlign w:val="superscript"/>
        </w:rPr>
        <w:t>2</w:t>
      </w:r>
      <w:r>
        <w:rPr>
          <w:rFonts w:hint="eastAsia"/>
          <w:color w:val="auto"/>
        </w:rPr>
        <w:t>。</w:t>
      </w:r>
    </w:p>
    <w:p>
      <w:pPr>
        <w:bidi w:val="0"/>
        <w:rPr>
          <w:rFonts w:hint="eastAsia"/>
          <w:color w:val="auto"/>
        </w:rPr>
      </w:pPr>
      <w:r>
        <w:rPr>
          <w:rFonts w:hint="eastAsia"/>
          <w:color w:val="auto"/>
        </w:rPr>
        <w:t>其次，项目区内还发育一些大型的水库（K11右侧300m高潮水库）、小型水库、泉点、雨源型溪沟，其动态变化与区内全年降水量分配基本吻合。项目区内山高谷深、水流湍急，河流、溪沟受降雨影响较大，雨季暴涨，旱季暴落，流量悬殊，遇大、暴雨易引发山洪，设计、施工都必须作好充分考虑和准备，以免造成公路的水毁问题。</w:t>
      </w:r>
    </w:p>
    <w:p>
      <w:pPr>
        <w:rPr>
          <w:rFonts w:hint="eastAsia"/>
          <w:color w:val="auto"/>
        </w:rPr>
      </w:pPr>
      <w:r>
        <w:rPr>
          <w:rFonts w:hint="eastAsia"/>
          <w:color w:val="auto"/>
        </w:rPr>
        <w:t>2）地下水</w:t>
      </w:r>
    </w:p>
    <w:p>
      <w:pPr>
        <w:rPr>
          <w:color w:val="auto"/>
        </w:rPr>
      </w:pPr>
      <w:r>
        <w:rPr>
          <w:rFonts w:hint="eastAsia"/>
          <w:color w:val="auto"/>
        </w:rPr>
        <w:t>本项目地下水主要赋存在第四系松散堆积物中的孔隙潜水，如赋存于河谷阶地，河漫滩中的地下水及赋存于坡积物中的地下水；其次的赋存于沿线岩质边坡裂隙中的基岩裂隙水。孔隙潜水相对较发育，埋深较浅，主要受大气降雨补给，向河谷排泄；基岩裂隙水相对不发育，沿线未发现裂隙泉出露，仅有小的裂隙渗水，受大气降雨水补给。</w:t>
      </w:r>
    </w:p>
    <w:p>
      <w:pPr>
        <w:pStyle w:val="4"/>
        <w:rPr>
          <w:color w:val="auto"/>
        </w:rPr>
      </w:pPr>
      <w:r>
        <w:rPr>
          <w:rFonts w:hint="eastAsia"/>
          <w:color w:val="auto"/>
          <w:lang w:val="en-US" w:eastAsia="zh-CN"/>
        </w:rPr>
        <w:t>1.2.3</w:t>
      </w:r>
      <w:r>
        <w:rPr>
          <w:color w:val="auto"/>
        </w:rPr>
        <w:t>土壤</w:t>
      </w:r>
    </w:p>
    <w:p>
      <w:pPr>
        <w:rPr>
          <w:color w:val="auto"/>
        </w:rPr>
      </w:pPr>
      <w:r>
        <w:rPr>
          <w:color w:val="auto"/>
        </w:rPr>
        <w:t>根据现场调查，项目区土壤主要为黄壤。黄壤属湿润、干湿季不明显生物气候条件下发育而成的土壤，土壤中富含氧化铁、氧化铝，很容易发生水化作用，质地粘重，土壤厚度0.5～1.5m，土壤肥力Ⅱ级，土壤分散性高，团聚力弱，胶体数量少，腐殖质含量低，土壤抗蚀性较小，全剖面呈弱酸性，pH为6.0左右。</w:t>
      </w:r>
    </w:p>
    <w:p>
      <w:pPr>
        <w:pStyle w:val="4"/>
        <w:rPr>
          <w:color w:val="auto"/>
        </w:rPr>
      </w:pPr>
      <w:r>
        <w:rPr>
          <w:rFonts w:hint="eastAsia"/>
          <w:color w:val="auto"/>
          <w:lang w:val="en-US" w:eastAsia="zh-CN"/>
        </w:rPr>
        <w:t>1.2.4</w:t>
      </w:r>
      <w:r>
        <w:rPr>
          <w:color w:val="auto"/>
        </w:rPr>
        <w:t>植被</w:t>
      </w:r>
    </w:p>
    <w:p>
      <w:pPr>
        <w:rPr>
          <w:rFonts w:ascii="Times New Roman" w:hAnsi="Times New Roman" w:eastAsia="仿宋_GB2312" w:cs="Times New Roman"/>
          <w:color w:val="auto"/>
          <w:spacing w:val="0"/>
          <w:szCs w:val="28"/>
        </w:rPr>
      </w:pPr>
      <w:bookmarkStart w:id="21" w:name="_Toc242000000"/>
      <w:bookmarkStart w:id="22" w:name="_Toc214678002"/>
      <w:r>
        <w:rPr>
          <w:color w:val="auto"/>
          <w:lang w:eastAsia="zh-CN"/>
        </w:rPr>
        <w:t>项目区植被类型属于亚热带常绿阔叶林，原生植被多被破坏，由次生植被所代替，种类繁多。项目区主要分布有杉树、松树、女贞树、壳斗科、女贞、喜树等，人工栽植的树种主要有李、桃、杨梅、梨等树木。项目区（普安县）林草覆盖率为</w:t>
      </w:r>
      <w:r>
        <w:rPr>
          <w:rFonts w:hint="eastAsia"/>
          <w:color w:val="auto"/>
          <w:lang w:eastAsia="zh-CN"/>
        </w:rPr>
        <w:t>51.12</w:t>
      </w:r>
      <w:r>
        <w:rPr>
          <w:color w:val="auto"/>
          <w:lang w:eastAsia="zh-CN"/>
        </w:rPr>
        <w:t>%。</w:t>
      </w:r>
    </w:p>
    <w:bookmarkEnd w:id="21"/>
    <w:bookmarkEnd w:id="22"/>
    <w:p>
      <w:pPr>
        <w:pStyle w:val="4"/>
        <w:rPr>
          <w:color w:val="auto"/>
        </w:rPr>
      </w:pPr>
      <w:r>
        <w:rPr>
          <w:rFonts w:hint="eastAsia"/>
          <w:color w:val="auto"/>
          <w:lang w:val="en-US" w:eastAsia="zh-CN"/>
        </w:rPr>
        <w:t>1.2.5</w:t>
      </w:r>
      <w:r>
        <w:rPr>
          <w:color w:val="auto"/>
        </w:rPr>
        <w:t>侵蚀类型</w:t>
      </w:r>
      <w:r>
        <w:rPr>
          <w:rFonts w:hint="eastAsia"/>
          <w:color w:val="auto"/>
          <w:lang w:eastAsia="zh-CN"/>
        </w:rPr>
        <w:t>及</w:t>
      </w:r>
      <w:r>
        <w:rPr>
          <w:color w:val="auto"/>
        </w:rPr>
        <w:t>容许土壤流失量</w:t>
      </w:r>
    </w:p>
    <w:p>
      <w:pPr>
        <w:adjustRightInd w:val="0"/>
        <w:spacing w:line="360" w:lineRule="auto"/>
        <w:ind w:firstLine="560"/>
        <w:rPr>
          <w:rFonts w:ascii="Times New Roman" w:hAnsi="Times New Roman" w:eastAsia="仿宋_GB2312" w:cs="Times New Roman"/>
          <w:color w:val="auto"/>
          <w:spacing w:val="0"/>
          <w:sz w:val="24"/>
          <w:szCs w:val="24"/>
        </w:rPr>
      </w:pPr>
      <w:r>
        <w:rPr>
          <w:rFonts w:ascii="Times New Roman" w:hAnsi="Times New Roman" w:eastAsia="仿宋_GB2312" w:cs="Times New Roman"/>
          <w:color w:val="auto"/>
          <w:spacing w:val="0"/>
          <w:sz w:val="24"/>
          <w:szCs w:val="24"/>
        </w:rPr>
        <w:t>因本项区水土流失类型以水力侵蚀为主，水土流失侵蚀方式为面蚀，属轻度流失区，项目区容许土壤侵蚀模数500t/(km</w:t>
      </w:r>
      <w:r>
        <w:rPr>
          <w:rFonts w:ascii="Times New Roman" w:hAnsi="Times New Roman" w:eastAsia="仿宋_GB2312" w:cs="Times New Roman"/>
          <w:color w:val="auto"/>
          <w:spacing w:val="0"/>
          <w:sz w:val="24"/>
          <w:szCs w:val="24"/>
          <w:vertAlign w:val="superscript"/>
        </w:rPr>
        <w:t>2</w:t>
      </w:r>
      <w:r>
        <w:rPr>
          <w:rFonts w:ascii="Times New Roman" w:hAnsi="Times New Roman" w:eastAsia="仿宋_GB2312" w:cs="Times New Roman"/>
          <w:color w:val="auto"/>
          <w:spacing w:val="0"/>
          <w:sz w:val="24"/>
          <w:szCs w:val="24"/>
        </w:rPr>
        <w:t>.a)。</w:t>
      </w:r>
    </w:p>
    <w:p>
      <w:pPr>
        <w:pStyle w:val="4"/>
        <w:rPr>
          <w:color w:val="auto"/>
        </w:rPr>
      </w:pPr>
      <w:r>
        <w:rPr>
          <w:rFonts w:hint="eastAsia"/>
          <w:color w:val="auto"/>
          <w:lang w:val="en-US" w:eastAsia="zh-CN"/>
        </w:rPr>
        <w:t>1.2.6</w:t>
      </w:r>
      <w:r>
        <w:rPr>
          <w:color w:val="auto"/>
        </w:rPr>
        <w:t>国家（省级）防治区划。</w:t>
      </w:r>
    </w:p>
    <w:p>
      <w:pPr>
        <w:rPr>
          <w:rFonts w:hint="default"/>
          <w:color w:val="auto"/>
        </w:rPr>
      </w:pPr>
      <w:r>
        <w:rPr>
          <w:rFonts w:hint="default"/>
          <w:color w:val="auto"/>
        </w:rPr>
        <w:t>根据水利部《关于印发全国水土保持规划国家级水土流失重点预防区和重点治理区复核划分成果的通知》（办水保〔2013〕188号），项目所涉及的普安县属于滇黔桂岩溶石漠化国家级水土流失重点治理区；根据《贵州省水利厅关于印发贵州省水土流失重点预防区和重点治理区划分成果的通知》（黔水保〔2015〕82号），项目涉及的盘水街道办事处属于普安晴隆中低山省级水土流失重点预防区，项目涉及的南湖街道办事处属于黔西南岩溶石漠化国家级水土流失重点治理区。</w:t>
      </w:r>
    </w:p>
    <w:bookmarkEnd w:id="17"/>
    <w:bookmarkEnd w:id="18"/>
    <w:bookmarkEnd w:id="19"/>
    <w:p>
      <w:pPr>
        <w:pStyle w:val="3"/>
        <w:rPr>
          <w:rFonts w:hint="default"/>
          <w:color w:val="auto"/>
        </w:rPr>
      </w:pPr>
      <w:bookmarkStart w:id="23" w:name="_Toc21803"/>
      <w:bookmarkStart w:id="24" w:name="_Toc400529663"/>
      <w:bookmarkStart w:id="25" w:name="_Toc371174595"/>
      <w:bookmarkStart w:id="26" w:name="_Toc400530764"/>
      <w:r>
        <w:rPr>
          <w:rFonts w:hint="default"/>
          <w:color w:val="auto"/>
        </w:rPr>
        <w:t>1.</w:t>
      </w:r>
      <w:r>
        <w:rPr>
          <w:rFonts w:hint="eastAsia"/>
          <w:color w:val="auto"/>
          <w:lang w:val="en-US" w:eastAsia="zh-CN"/>
        </w:rPr>
        <w:t>3</w:t>
      </w:r>
      <w:r>
        <w:rPr>
          <w:rFonts w:hint="default"/>
          <w:color w:val="auto"/>
        </w:rPr>
        <w:t>水土流失防治工作情况</w:t>
      </w:r>
      <w:bookmarkEnd w:id="23"/>
      <w:bookmarkEnd w:id="24"/>
      <w:bookmarkEnd w:id="25"/>
      <w:bookmarkEnd w:id="26"/>
    </w:p>
    <w:p>
      <w:pPr>
        <w:pStyle w:val="4"/>
        <w:rPr>
          <w:rFonts w:hint="default"/>
          <w:color w:val="auto"/>
        </w:rPr>
      </w:pPr>
      <w:bookmarkStart w:id="27" w:name="_Toc400529664"/>
      <w:bookmarkStart w:id="28" w:name="_Toc371174596"/>
      <w:bookmarkStart w:id="29" w:name="_Toc400530765"/>
      <w:r>
        <w:rPr>
          <w:rFonts w:hint="default"/>
          <w:color w:val="auto"/>
        </w:rPr>
        <w:t>1.</w:t>
      </w:r>
      <w:r>
        <w:rPr>
          <w:rFonts w:hint="eastAsia"/>
          <w:color w:val="auto"/>
          <w:lang w:val="en-US" w:eastAsia="zh-CN"/>
        </w:rPr>
        <w:t>3</w:t>
      </w:r>
      <w:r>
        <w:rPr>
          <w:rFonts w:hint="default"/>
          <w:color w:val="auto"/>
        </w:rPr>
        <w:t>.1水土保持方案编报情况</w:t>
      </w:r>
      <w:bookmarkEnd w:id="27"/>
      <w:bookmarkEnd w:id="28"/>
      <w:bookmarkEnd w:id="29"/>
    </w:p>
    <w:p>
      <w:pPr>
        <w:bidi w:val="0"/>
        <w:rPr>
          <w:rFonts w:hint="eastAsia"/>
          <w:color w:val="auto"/>
          <w:lang w:eastAsia="zh-CN"/>
        </w:rPr>
      </w:pPr>
      <w:bookmarkStart w:id="30" w:name="_Toc400530766"/>
      <w:bookmarkStart w:id="31" w:name="_Toc371174597"/>
      <w:bookmarkStart w:id="32" w:name="_Toc400529665"/>
      <w:r>
        <w:rPr>
          <w:rFonts w:hint="eastAsia"/>
          <w:color w:val="auto"/>
        </w:rPr>
        <w:t>2012年12月，建设单位委托贵州昱龙绿色产业有限公司编制该项目的水土保持方案，为此，该公司认真组织工程技术人员深入现场踏勘，收集基础资料，按我公司现已按照《开发建设项目水土保持方案技术规范》的要求编制完成了《G320线普安江西坡至三板桥段改扩建工程（县城段）水土保持方案报告书》（送审稿），方案送审后，黔西南州水务局组织有关专家对《G320线普安江西坡至三板桥段改扩建工程（县城段）水土保持方案报告书》（送审稿）进行会审，后根据专家审查意见，修改完成了《G320线普安江西坡至三板桥段改扩建工程（县城段）水土保持方案报告书》（报批稿），以下简称《方案》。201</w:t>
      </w:r>
      <w:r>
        <w:rPr>
          <w:color w:val="auto"/>
        </w:rPr>
        <w:t>3</w:t>
      </w:r>
      <w:r>
        <w:rPr>
          <w:rFonts w:hint="eastAsia"/>
          <w:color w:val="auto"/>
        </w:rPr>
        <w:t>年</w:t>
      </w:r>
      <w:r>
        <w:rPr>
          <w:color w:val="auto"/>
        </w:rPr>
        <w:t>2</w:t>
      </w:r>
      <w:r>
        <w:rPr>
          <w:rFonts w:hint="eastAsia"/>
          <w:color w:val="auto"/>
        </w:rPr>
        <w:t>月</w:t>
      </w:r>
      <w:r>
        <w:rPr>
          <w:color w:val="auto"/>
        </w:rPr>
        <w:t>5</w:t>
      </w:r>
      <w:r>
        <w:rPr>
          <w:rFonts w:hint="eastAsia"/>
          <w:color w:val="auto"/>
        </w:rPr>
        <w:t>日获得黔西南布衣族苗族自治州水务局下发的批复《关于G320线普安江西坡至三板桥段改扩建工程（县城段）水土保持方案的复函》(州水务函〔201</w:t>
      </w:r>
      <w:r>
        <w:rPr>
          <w:color w:val="auto"/>
        </w:rPr>
        <w:t>3</w:t>
      </w:r>
      <w:r>
        <w:rPr>
          <w:rFonts w:hint="eastAsia"/>
          <w:color w:val="auto"/>
        </w:rPr>
        <w:t>〕</w:t>
      </w:r>
      <w:r>
        <w:rPr>
          <w:color w:val="auto"/>
        </w:rPr>
        <w:t>4</w:t>
      </w:r>
      <w:r>
        <w:rPr>
          <w:rFonts w:hint="eastAsia"/>
          <w:color w:val="auto"/>
        </w:rPr>
        <w:t>号文)。</w:t>
      </w:r>
    </w:p>
    <w:p>
      <w:pPr>
        <w:pStyle w:val="4"/>
        <w:bidi w:val="0"/>
        <w:rPr>
          <w:rFonts w:hint="default"/>
          <w:color w:val="auto"/>
        </w:rPr>
      </w:pPr>
      <w:r>
        <w:rPr>
          <w:rFonts w:hint="default"/>
          <w:color w:val="auto"/>
        </w:rPr>
        <w:t>1.</w:t>
      </w:r>
      <w:r>
        <w:rPr>
          <w:rFonts w:hint="eastAsia"/>
          <w:color w:val="auto"/>
          <w:lang w:val="en-US" w:eastAsia="zh-CN"/>
        </w:rPr>
        <w:t>3</w:t>
      </w:r>
      <w:r>
        <w:rPr>
          <w:rFonts w:hint="default"/>
          <w:color w:val="auto"/>
        </w:rPr>
        <w:t>.2水土保持工作组织开展情况</w:t>
      </w:r>
      <w:bookmarkEnd w:id="30"/>
      <w:bookmarkEnd w:id="31"/>
      <w:bookmarkEnd w:id="32"/>
    </w:p>
    <w:p>
      <w:pPr>
        <w:keepNext w:val="0"/>
        <w:keepLines w:val="0"/>
        <w:widowControl/>
        <w:suppressLineNumbers w:val="0"/>
        <w:jc w:val="left"/>
        <w:rPr>
          <w:rFonts w:hint="default" w:ascii="Times New Roman" w:hAnsi="Times New Roman" w:eastAsia="仿宋_GB2312" w:cs="Times New Roman"/>
          <w:color w:val="auto"/>
          <w:spacing w:val="0"/>
          <w:sz w:val="24"/>
          <w:szCs w:val="28"/>
        </w:rPr>
      </w:pPr>
      <w:r>
        <w:rPr>
          <w:rFonts w:hint="default" w:ascii="Times New Roman" w:hAnsi="Times New Roman" w:eastAsia="仿宋_GB2312" w:cs="Times New Roman"/>
          <w:color w:val="auto"/>
          <w:spacing w:val="0"/>
          <w:sz w:val="24"/>
        </w:rPr>
        <w:t>建设单位在工程建设过程中高度重视水土保持工作，指定工程部全面负责落实工程建设过程中的水土保持工作，工程部详细地安排各单位工程的施工顺序，为项目建设的各单位开工做好准备，并为其连续快速施工做好周密安排。</w:t>
      </w:r>
    </w:p>
    <w:p>
      <w:pPr>
        <w:pStyle w:val="4"/>
        <w:rPr>
          <w:rFonts w:hint="default" w:ascii="Times New Roman" w:hAnsi="Times New Roman" w:eastAsia="仿宋_GB2312" w:cs="Times New Roman"/>
          <w:color w:val="auto"/>
          <w:spacing w:val="0"/>
          <w:sz w:val="24"/>
          <w:szCs w:val="28"/>
        </w:rPr>
      </w:pPr>
      <w:bookmarkStart w:id="33" w:name="_Toc371174598"/>
      <w:bookmarkStart w:id="34" w:name="_Toc400530767"/>
      <w:bookmarkStart w:id="35" w:name="_Toc400529666"/>
      <w:r>
        <w:rPr>
          <w:rFonts w:hint="default"/>
          <w:color w:val="auto"/>
        </w:rPr>
        <w:t>1.</w:t>
      </w:r>
      <w:r>
        <w:rPr>
          <w:rFonts w:hint="eastAsia"/>
          <w:color w:val="auto"/>
          <w:lang w:val="en-US" w:eastAsia="zh-CN"/>
        </w:rPr>
        <w:t>3</w:t>
      </w:r>
      <w:r>
        <w:rPr>
          <w:rFonts w:hint="default"/>
          <w:color w:val="auto"/>
        </w:rPr>
        <w:t>.3水土保持工程实施概况</w:t>
      </w:r>
      <w:bookmarkEnd w:id="33"/>
      <w:bookmarkEnd w:id="34"/>
      <w:bookmarkEnd w:id="35"/>
    </w:p>
    <w:p>
      <w:pPr>
        <w:bidi w:val="0"/>
        <w:rPr>
          <w:color w:val="auto"/>
          <w:lang w:eastAsia="zh-CN"/>
        </w:rPr>
      </w:pPr>
      <w:bookmarkStart w:id="36" w:name="_Toc371174599"/>
      <w:bookmarkStart w:id="37" w:name="_Toc400530768"/>
      <w:bookmarkStart w:id="38" w:name="_Toc400529667"/>
      <w:r>
        <w:rPr>
          <w:rFonts w:hint="eastAsia"/>
          <w:color w:val="auto"/>
          <w:lang w:eastAsia="zh-CN"/>
        </w:rPr>
        <w:t>截止20</w:t>
      </w:r>
      <w:r>
        <w:rPr>
          <w:rFonts w:hint="eastAsia"/>
          <w:color w:val="auto"/>
          <w:lang w:val="en-US" w:eastAsia="zh-CN"/>
        </w:rPr>
        <w:t>20</w:t>
      </w:r>
      <w:r>
        <w:rPr>
          <w:rFonts w:hint="eastAsia"/>
          <w:color w:val="auto"/>
          <w:lang w:eastAsia="zh-CN"/>
        </w:rPr>
        <w:t>年</w:t>
      </w:r>
      <w:r>
        <w:rPr>
          <w:rFonts w:hint="eastAsia"/>
          <w:color w:val="auto"/>
          <w:lang w:val="en-US" w:eastAsia="zh-CN"/>
        </w:rPr>
        <w:t>10</w:t>
      </w:r>
      <w:r>
        <w:rPr>
          <w:rFonts w:hint="eastAsia"/>
          <w:color w:val="auto"/>
          <w:lang w:eastAsia="zh-CN"/>
        </w:rPr>
        <w:t>月，项目区实施的水土保持措施如下：</w:t>
      </w:r>
    </w:p>
    <w:p>
      <w:pPr>
        <w:ind w:firstLine="480"/>
        <w:rPr>
          <w:color w:val="auto"/>
        </w:rPr>
      </w:pPr>
      <w:r>
        <w:rPr>
          <w:rFonts w:hint="eastAsia"/>
          <w:color w:val="auto"/>
        </w:rPr>
        <w:t>工程措施：主体已实施共计道路边沟</w:t>
      </w:r>
      <w:r>
        <w:rPr>
          <w:color w:val="auto"/>
        </w:rPr>
        <w:t>3260m</w:t>
      </w:r>
      <w:r>
        <w:rPr>
          <w:rFonts w:hint="eastAsia"/>
          <w:color w:val="auto"/>
        </w:rPr>
        <w:t>，骨架</w:t>
      </w:r>
      <w:r>
        <w:rPr>
          <w:color w:val="auto"/>
        </w:rPr>
        <w:t>护坡</w:t>
      </w:r>
      <w:r>
        <w:rPr>
          <w:rFonts w:hint="eastAsia"/>
          <w:color w:val="auto"/>
        </w:rPr>
        <w:t>0.65</w:t>
      </w:r>
      <w:r>
        <w:rPr>
          <w:color w:val="auto"/>
        </w:rPr>
        <w:t>hm</w:t>
      </w:r>
      <w:r>
        <w:rPr>
          <w:color w:val="auto"/>
          <w:vertAlign w:val="superscript"/>
        </w:rPr>
        <w:t>2</w:t>
      </w:r>
      <w:r>
        <w:rPr>
          <w:color w:val="auto"/>
        </w:rPr>
        <w:t>，</w:t>
      </w:r>
      <w:r>
        <w:rPr>
          <w:rFonts w:hint="eastAsia"/>
          <w:color w:val="auto"/>
        </w:rPr>
        <w:t>沉砂池</w:t>
      </w:r>
      <w:r>
        <w:rPr>
          <w:color w:val="auto"/>
        </w:rPr>
        <w:t>2</w:t>
      </w:r>
      <w:r>
        <w:rPr>
          <w:rFonts w:hint="eastAsia"/>
          <w:color w:val="auto"/>
        </w:rPr>
        <w:t>口</w:t>
      </w:r>
      <w:r>
        <w:rPr>
          <w:color w:val="auto"/>
        </w:rPr>
        <w:t>，</w:t>
      </w:r>
      <w:r>
        <w:rPr>
          <w:rFonts w:hint="eastAsia"/>
          <w:color w:val="auto"/>
        </w:rPr>
        <w:t>植物槽300</w:t>
      </w:r>
      <w:r>
        <w:rPr>
          <w:color w:val="auto"/>
        </w:rPr>
        <w:t>m，</w:t>
      </w:r>
      <w:r>
        <w:rPr>
          <w:rFonts w:hint="eastAsia"/>
          <w:color w:val="auto"/>
        </w:rPr>
        <w:t>雨水管1250</w:t>
      </w:r>
      <w:r>
        <w:rPr>
          <w:color w:val="auto"/>
        </w:rPr>
        <w:t>m，</w:t>
      </w:r>
      <w:r>
        <w:rPr>
          <w:rFonts w:hint="eastAsia"/>
          <w:color w:val="auto"/>
        </w:rPr>
        <w:t>雨水井</w:t>
      </w:r>
      <w:r>
        <w:rPr>
          <w:color w:val="auto"/>
        </w:rPr>
        <w:t>3</w:t>
      </w:r>
      <w:r>
        <w:rPr>
          <w:rFonts w:hint="eastAsia"/>
          <w:color w:val="auto"/>
        </w:rPr>
        <w:t>口</w:t>
      </w:r>
      <w:r>
        <w:rPr>
          <w:color w:val="auto"/>
        </w:rPr>
        <w:t>，</w:t>
      </w:r>
      <w:r>
        <w:rPr>
          <w:rFonts w:hint="eastAsia"/>
          <w:color w:val="auto"/>
        </w:rPr>
        <w:t>表土</w:t>
      </w:r>
      <w:r>
        <w:rPr>
          <w:color w:val="auto"/>
        </w:rPr>
        <w:t>剥离</w:t>
      </w:r>
      <w:r>
        <w:rPr>
          <w:rFonts w:hint="eastAsia"/>
          <w:color w:val="auto"/>
        </w:rPr>
        <w:t>12310</w:t>
      </w:r>
      <w:r>
        <w:rPr>
          <w:color w:val="auto"/>
        </w:rPr>
        <w:t>m</w:t>
      </w:r>
      <w:r>
        <w:rPr>
          <w:color w:val="auto"/>
          <w:vertAlign w:val="superscript"/>
        </w:rPr>
        <w:t>3</w:t>
      </w:r>
      <w:r>
        <w:rPr>
          <w:rFonts w:hint="eastAsia"/>
          <w:color w:val="auto"/>
        </w:rPr>
        <w:t>；</w:t>
      </w:r>
    </w:p>
    <w:p>
      <w:pPr>
        <w:ind w:firstLine="480"/>
        <w:rPr>
          <w:color w:val="auto"/>
        </w:rPr>
      </w:pPr>
      <w:r>
        <w:rPr>
          <w:rFonts w:hint="eastAsia"/>
          <w:color w:val="auto"/>
        </w:rPr>
        <w:t>植物措施：行道树517株</w:t>
      </w:r>
      <w:r>
        <w:rPr>
          <w:color w:val="auto"/>
        </w:rPr>
        <w:t>，</w:t>
      </w:r>
      <w:r>
        <w:rPr>
          <w:rFonts w:hint="eastAsia"/>
          <w:color w:val="auto"/>
        </w:rPr>
        <w:t>边坡</w:t>
      </w:r>
      <w:r>
        <w:rPr>
          <w:color w:val="auto"/>
        </w:rPr>
        <w:t>植草</w:t>
      </w:r>
      <w:r>
        <w:rPr>
          <w:rFonts w:hint="eastAsia"/>
          <w:color w:val="auto"/>
        </w:rPr>
        <w:t>0.35</w:t>
      </w:r>
      <w:r>
        <w:rPr>
          <w:color w:val="auto"/>
        </w:rPr>
        <w:t>hm</w:t>
      </w:r>
      <w:r>
        <w:rPr>
          <w:color w:val="auto"/>
          <w:vertAlign w:val="superscript"/>
        </w:rPr>
        <w:t>2</w:t>
      </w:r>
      <w:r>
        <w:rPr>
          <w:color w:val="auto"/>
        </w:rPr>
        <w:t>，</w:t>
      </w:r>
      <w:r>
        <w:rPr>
          <w:rFonts w:hint="eastAsia"/>
          <w:color w:val="auto"/>
        </w:rPr>
        <w:t>种植</w:t>
      </w:r>
      <w:r>
        <w:rPr>
          <w:color w:val="auto"/>
        </w:rPr>
        <w:t>小金竹</w:t>
      </w:r>
      <w:r>
        <w:rPr>
          <w:rFonts w:hint="eastAsia"/>
          <w:color w:val="auto"/>
        </w:rPr>
        <w:t>113株</w:t>
      </w:r>
      <w:r>
        <w:rPr>
          <w:color w:val="auto"/>
        </w:rPr>
        <w:t>，</w:t>
      </w:r>
      <w:r>
        <w:rPr>
          <w:rFonts w:hint="eastAsia"/>
          <w:color w:val="auto"/>
        </w:rPr>
        <w:t>种植</w:t>
      </w:r>
      <w:r>
        <w:rPr>
          <w:color w:val="auto"/>
        </w:rPr>
        <w:t>灌木</w:t>
      </w:r>
      <w:r>
        <w:rPr>
          <w:rFonts w:hint="eastAsia"/>
          <w:color w:val="auto"/>
        </w:rPr>
        <w:t>432株</w:t>
      </w:r>
      <w:r>
        <w:rPr>
          <w:color w:val="auto"/>
        </w:rPr>
        <w:t>，</w:t>
      </w:r>
      <w:r>
        <w:rPr>
          <w:rFonts w:hint="eastAsia"/>
          <w:color w:val="auto"/>
        </w:rPr>
        <w:t>种植</w:t>
      </w:r>
      <w:r>
        <w:rPr>
          <w:color w:val="auto"/>
        </w:rPr>
        <w:t>油麻藤</w:t>
      </w:r>
      <w:r>
        <w:rPr>
          <w:rFonts w:hint="eastAsia"/>
          <w:color w:val="auto"/>
        </w:rPr>
        <w:t>1143株</w:t>
      </w:r>
      <w:r>
        <w:rPr>
          <w:color w:val="auto"/>
        </w:rPr>
        <w:t>，</w:t>
      </w:r>
      <w:r>
        <w:rPr>
          <w:rFonts w:hint="eastAsia"/>
          <w:color w:val="auto"/>
        </w:rPr>
        <w:t>植物</w:t>
      </w:r>
      <w:r>
        <w:rPr>
          <w:color w:val="auto"/>
        </w:rPr>
        <w:t>绿化带</w:t>
      </w:r>
      <w:r>
        <w:rPr>
          <w:rFonts w:hint="eastAsia"/>
          <w:color w:val="auto"/>
        </w:rPr>
        <w:t>0.10</w:t>
      </w:r>
      <w:r>
        <w:rPr>
          <w:color w:val="auto"/>
        </w:rPr>
        <w:t>m</w:t>
      </w:r>
      <w:r>
        <w:rPr>
          <w:color w:val="auto"/>
          <w:vertAlign w:val="superscript"/>
        </w:rPr>
        <w:t>2</w:t>
      </w:r>
      <w:r>
        <w:rPr>
          <w:rFonts w:hint="eastAsia"/>
          <w:color w:val="auto"/>
        </w:rPr>
        <w:t>。</w:t>
      </w:r>
    </w:p>
    <w:p>
      <w:pPr>
        <w:spacing w:line="360" w:lineRule="auto"/>
        <w:ind w:firstLine="480"/>
        <w:contextualSpacing/>
        <w:rPr>
          <w:rFonts w:hint="eastAsia"/>
          <w:color w:val="auto"/>
          <w:sz w:val="24"/>
          <w:szCs w:val="24"/>
          <w:lang w:val="en-US" w:eastAsia="zh-CN"/>
        </w:rPr>
      </w:pPr>
      <w:r>
        <w:rPr>
          <w:rFonts w:hint="eastAsia"/>
          <w:color w:val="auto"/>
        </w:rPr>
        <w:t>临时措施</w:t>
      </w:r>
      <w:r>
        <w:rPr>
          <w:color w:val="auto"/>
        </w:rPr>
        <w:t>：</w:t>
      </w:r>
      <w:r>
        <w:rPr>
          <w:rFonts w:hint="eastAsia"/>
          <w:color w:val="auto"/>
        </w:rPr>
        <w:t>临时</w:t>
      </w:r>
      <w:r>
        <w:rPr>
          <w:color w:val="auto"/>
        </w:rPr>
        <w:t>排水沟2437m，</w:t>
      </w:r>
      <w:r>
        <w:rPr>
          <w:rFonts w:hint="eastAsia"/>
          <w:color w:val="auto"/>
        </w:rPr>
        <w:t>临时土袋拦挡579</w:t>
      </w:r>
      <w:r>
        <w:rPr>
          <w:color w:val="auto"/>
        </w:rPr>
        <w:t>m，</w:t>
      </w:r>
      <w:r>
        <w:rPr>
          <w:rFonts w:hint="eastAsia"/>
          <w:color w:val="auto"/>
        </w:rPr>
        <w:t>临时沉砂池5口。</w:t>
      </w:r>
    </w:p>
    <w:p>
      <w:pPr>
        <w:pStyle w:val="3"/>
        <w:rPr>
          <w:rFonts w:hint="default"/>
          <w:color w:val="auto"/>
        </w:rPr>
      </w:pPr>
      <w:bookmarkStart w:id="39" w:name="_Toc5727"/>
      <w:r>
        <w:rPr>
          <w:rFonts w:hint="default"/>
          <w:color w:val="auto"/>
        </w:rPr>
        <w:t>1.</w:t>
      </w:r>
      <w:r>
        <w:rPr>
          <w:rFonts w:hint="eastAsia"/>
          <w:color w:val="auto"/>
          <w:lang w:val="en-US" w:eastAsia="zh-CN"/>
        </w:rPr>
        <w:t>4</w:t>
      </w:r>
      <w:r>
        <w:rPr>
          <w:rFonts w:hint="default"/>
          <w:color w:val="auto"/>
        </w:rPr>
        <w:t>监测工作实施概况</w:t>
      </w:r>
      <w:bookmarkEnd w:id="39"/>
    </w:p>
    <w:bookmarkEnd w:id="36"/>
    <w:bookmarkEnd w:id="37"/>
    <w:bookmarkEnd w:id="38"/>
    <w:p>
      <w:pPr>
        <w:pStyle w:val="4"/>
        <w:rPr>
          <w:rFonts w:hint="default"/>
          <w:color w:val="auto"/>
        </w:rPr>
      </w:pPr>
      <w:bookmarkStart w:id="40" w:name="_Toc400529668"/>
      <w:bookmarkStart w:id="41" w:name="_Toc400530769"/>
      <w:bookmarkStart w:id="42" w:name="_Toc371174600"/>
      <w:r>
        <w:rPr>
          <w:rFonts w:hint="default"/>
          <w:color w:val="auto"/>
        </w:rPr>
        <w:t>1.</w:t>
      </w:r>
      <w:r>
        <w:rPr>
          <w:rFonts w:hint="eastAsia"/>
          <w:color w:val="auto"/>
          <w:lang w:val="en-US" w:eastAsia="zh-CN"/>
        </w:rPr>
        <w:t>4</w:t>
      </w:r>
      <w:r>
        <w:rPr>
          <w:rFonts w:hint="default"/>
          <w:color w:val="auto"/>
        </w:rPr>
        <w:t>.1监测目的</w:t>
      </w:r>
      <w:bookmarkEnd w:id="40"/>
      <w:bookmarkEnd w:id="41"/>
      <w:bookmarkEnd w:id="42"/>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（1）施工建设过程中的水土流失进行适时监测和监控。了解项目建设中水土保持方案实施情况，掌握水土流失发生的时段、强度等情况，及时采取相应的防控措施。</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（2）为项目的水土流失预测和制定防治方案提供依据。积累水土流失预测的实测资料和数据，为确定预测参数、预测模型等服务。</w:t>
      </w:r>
    </w:p>
    <w:p>
      <w:pPr>
        <w:rPr>
          <w:rFonts w:hint="default" w:ascii="Times New Roman" w:hAnsi="Times New Roman" w:eastAsia="仿宋_GB2312" w:cs="Times New Roman"/>
          <w:color w:val="auto"/>
          <w:spacing w:val="0"/>
          <w:sz w:val="24"/>
          <w:szCs w:val="28"/>
        </w:rPr>
      </w:pPr>
      <w:r>
        <w:rPr>
          <w:rFonts w:hint="default" w:ascii="Times New Roman" w:hAnsi="Times New Roman" w:eastAsia="仿宋_GB2312" w:cs="Times New Roman"/>
          <w:color w:val="auto"/>
          <w:spacing w:val="0"/>
          <w:sz w:val="24"/>
        </w:rPr>
        <w:t>（3）为项目的水土保持专项验收提供依据。通过对项目建设全过程的监测说明施工、建设、生产运行中防治水土流失效果。</w:t>
      </w:r>
    </w:p>
    <w:p>
      <w:pPr>
        <w:pStyle w:val="4"/>
        <w:rPr>
          <w:rFonts w:hint="default"/>
          <w:color w:val="auto"/>
        </w:rPr>
      </w:pPr>
      <w:bookmarkStart w:id="43" w:name="_Toc400529669"/>
      <w:bookmarkStart w:id="44" w:name="_Toc400530770"/>
      <w:bookmarkStart w:id="45" w:name="_Toc371174601"/>
      <w:r>
        <w:rPr>
          <w:rFonts w:hint="default"/>
          <w:color w:val="auto"/>
        </w:rPr>
        <w:t>1.</w:t>
      </w:r>
      <w:r>
        <w:rPr>
          <w:rFonts w:hint="eastAsia"/>
          <w:color w:val="auto"/>
          <w:lang w:val="en-US" w:eastAsia="zh-CN"/>
        </w:rPr>
        <w:t>4</w:t>
      </w:r>
      <w:r>
        <w:rPr>
          <w:rFonts w:hint="default"/>
          <w:color w:val="auto"/>
        </w:rPr>
        <w:t>.2监测原则</w:t>
      </w:r>
      <w:bookmarkEnd w:id="43"/>
      <w:bookmarkEnd w:id="44"/>
      <w:bookmarkEnd w:id="45"/>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1）全面调查与重点观测相结合。全面调查即对本项目水土流失防治责任范围进行核实，并对水土流失及其防治状况进行全面调查。在全面调查的基础上，确定水土流失及其防治效果监测的重点区域，并确定相应的观测方法。</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2）定期调查和动态观测相结合。对水土流失防治分区、地形地貌、地面组成物质、植被种类、覆盖度等变化随主体工程总体布局与施工进度变化而变化，需通过定期调查获取。对土壤侵蚀形式、降水量、径流量、泥沙量、工程实施进展与防治效果等因子，根据项目不同阶段地面变化情况，采用不同的观测方式进行动态观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3）调查、观测与巡查相结合。随着工程施工进度变化，场地水土流失存在的问题和隐患也在不断的变化。为了及时掌握各种可能出现的水土流失问题，现场隐患。除了调查与观测外，必须进行不断的巡查，制定巡查计划和工作表格，现场填写表格，并定期向水行政主管部门和建设单位汇报和提出相应的处理意见。建设单位在当地水行政主管部门的监督下，根据情况制定相应的处理方案，以保证水土保持监测的时效。</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（4）项目水土保持监测费用应纳入水土保持方案，建设期监测费用应由建设费列支，生产期的监测费用应由生产费用列支。</w:t>
      </w:r>
    </w:p>
    <w:p>
      <w:pPr>
        <w:rPr>
          <w:rFonts w:hint="default" w:ascii="Times New Roman" w:hAnsi="Times New Roman" w:eastAsia="仿宋_GB2312" w:cs="Times New Roman"/>
          <w:color w:val="auto"/>
          <w:spacing w:val="0"/>
          <w:sz w:val="24"/>
          <w:szCs w:val="28"/>
        </w:rPr>
      </w:pPr>
      <w:r>
        <w:rPr>
          <w:rFonts w:hint="default" w:ascii="Times New Roman" w:hAnsi="Times New Roman" w:eastAsia="仿宋_GB2312" w:cs="Times New Roman"/>
          <w:color w:val="auto"/>
          <w:spacing w:val="0"/>
          <w:sz w:val="24"/>
        </w:rPr>
        <w:t>（5）结合项目建设特点和新增水土流失预测结果，以</w:t>
      </w:r>
      <w:r>
        <w:rPr>
          <w:rFonts w:hint="eastAsia" w:cs="Times New Roman"/>
          <w:color w:val="auto"/>
          <w:spacing w:val="0"/>
          <w:sz w:val="24"/>
          <w:lang w:eastAsia="zh-CN"/>
        </w:rPr>
        <w:t>弃渣场区、主体工程下边坡，服务区</w:t>
      </w:r>
      <w:r>
        <w:rPr>
          <w:rFonts w:hint="default" w:ascii="Times New Roman" w:hAnsi="Times New Roman" w:eastAsia="仿宋_GB2312" w:cs="Times New Roman"/>
          <w:color w:val="auto"/>
          <w:spacing w:val="0"/>
          <w:sz w:val="24"/>
        </w:rPr>
        <w:t>作为监测重点；监测方法力求经济、适用和可操作；监测成果客观、及时、准确。</w:t>
      </w:r>
    </w:p>
    <w:p>
      <w:pPr>
        <w:pStyle w:val="4"/>
        <w:rPr>
          <w:rFonts w:hint="default"/>
          <w:color w:val="auto"/>
        </w:rPr>
      </w:pPr>
      <w:bookmarkStart w:id="46" w:name="_Toc371174602"/>
      <w:bookmarkStart w:id="47" w:name="_Toc400529670"/>
      <w:bookmarkStart w:id="48" w:name="_Toc400530771"/>
      <w:r>
        <w:rPr>
          <w:rFonts w:hint="default"/>
          <w:color w:val="auto"/>
        </w:rPr>
        <w:t>1.</w:t>
      </w:r>
      <w:r>
        <w:rPr>
          <w:rFonts w:hint="eastAsia"/>
          <w:color w:val="auto"/>
          <w:lang w:val="en-US" w:eastAsia="zh-CN"/>
        </w:rPr>
        <w:t>4</w:t>
      </w:r>
      <w:r>
        <w:rPr>
          <w:rFonts w:hint="default"/>
          <w:color w:val="auto"/>
        </w:rPr>
        <w:t>.3任务委托及监测工作组织</w:t>
      </w:r>
      <w:bookmarkEnd w:id="46"/>
      <w:bookmarkEnd w:id="47"/>
      <w:bookmarkEnd w:id="48"/>
    </w:p>
    <w:p>
      <w:pPr>
        <w:rPr>
          <w:rFonts w:hint="default" w:ascii="Times New Roman" w:hAnsi="Times New Roman" w:eastAsia="仿宋_GB2312" w:cs="Times New Roman"/>
          <w:color w:val="auto"/>
          <w:spacing w:val="0"/>
          <w:sz w:val="24"/>
        </w:rPr>
      </w:pPr>
      <w:r>
        <w:rPr>
          <w:rFonts w:cs="Times New Roman"/>
          <w:color w:val="auto"/>
        </w:rPr>
        <w:t>根据《中华人民共和国水土保持法》、《关于规范生产建设项目水土保持监测工作的意见》（水保</w:t>
      </w:r>
      <w:r>
        <w:rPr>
          <w:rFonts w:hint="eastAsia" w:cs="Times New Roman"/>
          <w:color w:val="auto"/>
        </w:rPr>
        <w:t>〔</w:t>
      </w:r>
      <w:r>
        <w:rPr>
          <w:rFonts w:cs="Times New Roman"/>
          <w:color w:val="auto"/>
        </w:rPr>
        <w:t>2009</w:t>
      </w:r>
      <w:r>
        <w:rPr>
          <w:rFonts w:hint="eastAsia" w:cs="Times New Roman"/>
          <w:color w:val="auto"/>
        </w:rPr>
        <w:t>〕</w:t>
      </w:r>
      <w:r>
        <w:rPr>
          <w:rFonts w:cs="Times New Roman"/>
          <w:color w:val="auto"/>
        </w:rPr>
        <w:t>187号）及《水利部办公厅关于印发生产建设项目水土保持监测规程的通知》（办水保</w:t>
      </w:r>
      <w:r>
        <w:rPr>
          <w:rFonts w:hint="eastAsia" w:cs="Times New Roman"/>
          <w:color w:val="auto"/>
        </w:rPr>
        <w:t>〔</w:t>
      </w:r>
      <w:r>
        <w:rPr>
          <w:rFonts w:cs="Times New Roman"/>
          <w:color w:val="auto"/>
        </w:rPr>
        <w:t>2015</w:t>
      </w:r>
      <w:r>
        <w:rPr>
          <w:rFonts w:hint="eastAsia" w:cs="Times New Roman"/>
          <w:color w:val="auto"/>
        </w:rPr>
        <w:t>〕</w:t>
      </w:r>
      <w:r>
        <w:rPr>
          <w:rFonts w:cs="Times New Roman"/>
          <w:color w:val="auto"/>
        </w:rPr>
        <w:t>139），《生产建设项目水土保持监测单位水平评价管理办法（试行）》（中水会字</w:t>
      </w:r>
      <w:r>
        <w:rPr>
          <w:rFonts w:hint="eastAsia" w:cs="Times New Roman"/>
          <w:color w:val="auto"/>
        </w:rPr>
        <w:t>〔</w:t>
      </w:r>
      <w:r>
        <w:rPr>
          <w:rFonts w:cs="Times New Roman"/>
          <w:color w:val="auto"/>
        </w:rPr>
        <w:t>2015</w:t>
      </w:r>
      <w:r>
        <w:rPr>
          <w:rFonts w:hint="eastAsia" w:cs="Times New Roman"/>
          <w:color w:val="auto"/>
        </w:rPr>
        <w:t>〕</w:t>
      </w:r>
      <w:r>
        <w:rPr>
          <w:rFonts w:cs="Times New Roman"/>
          <w:color w:val="auto"/>
        </w:rPr>
        <w:t>第004号），</w:t>
      </w:r>
      <w:r>
        <w:rPr>
          <w:rFonts w:cs="Times New Roman"/>
          <w:color w:val="auto"/>
          <w:szCs w:val="28"/>
        </w:rPr>
        <w:t>20</w:t>
      </w:r>
      <w:r>
        <w:rPr>
          <w:rFonts w:hint="eastAsia" w:cs="Times New Roman"/>
          <w:color w:val="auto"/>
          <w:szCs w:val="28"/>
        </w:rPr>
        <w:t>1</w:t>
      </w:r>
      <w:r>
        <w:rPr>
          <w:rFonts w:hint="eastAsia" w:cs="Times New Roman"/>
          <w:color w:val="auto"/>
          <w:szCs w:val="28"/>
          <w:lang w:val="en-US" w:eastAsia="zh-CN"/>
        </w:rPr>
        <w:t>6</w:t>
      </w:r>
      <w:r>
        <w:rPr>
          <w:rFonts w:cs="Times New Roman"/>
          <w:color w:val="auto"/>
          <w:szCs w:val="28"/>
        </w:rPr>
        <w:t>年</w:t>
      </w:r>
      <w:r>
        <w:rPr>
          <w:rFonts w:hint="eastAsia" w:cs="Times New Roman"/>
          <w:color w:val="auto"/>
          <w:szCs w:val="28"/>
          <w:lang w:val="en-US" w:eastAsia="zh-CN"/>
        </w:rPr>
        <w:t>1</w:t>
      </w:r>
      <w:r>
        <w:rPr>
          <w:rFonts w:cs="Times New Roman"/>
          <w:color w:val="auto"/>
          <w:szCs w:val="28"/>
        </w:rPr>
        <w:t>月</w:t>
      </w:r>
      <w:r>
        <w:rPr>
          <w:rFonts w:hint="eastAsia" w:cs="Times New Roman"/>
          <w:color w:val="auto"/>
          <w:szCs w:val="28"/>
        </w:rPr>
        <w:t>普安县交通运输局</w:t>
      </w:r>
      <w:r>
        <w:rPr>
          <w:rFonts w:cs="Times New Roman"/>
          <w:color w:val="auto"/>
          <w:szCs w:val="28"/>
        </w:rPr>
        <w:t>委托</w:t>
      </w:r>
      <w:r>
        <w:rPr>
          <w:rFonts w:hint="eastAsia" w:cs="Times New Roman"/>
          <w:color w:val="auto"/>
          <w:szCs w:val="28"/>
        </w:rPr>
        <w:t>贵州天保生态股份有限公司</w:t>
      </w:r>
      <w:r>
        <w:rPr>
          <w:rFonts w:cs="Times New Roman"/>
          <w:color w:val="auto"/>
          <w:szCs w:val="28"/>
        </w:rPr>
        <w:t>承担</w:t>
      </w:r>
      <w:r>
        <w:rPr>
          <w:rFonts w:hint="eastAsia" w:cs="Times New Roman"/>
          <w:color w:val="auto"/>
          <w:szCs w:val="28"/>
        </w:rPr>
        <w:t>G320线普安江西坡至三板桥段改扩建工程（县城段）</w:t>
      </w:r>
      <w:r>
        <w:rPr>
          <w:rFonts w:cs="Times New Roman"/>
          <w:color w:val="auto"/>
          <w:szCs w:val="28"/>
        </w:rPr>
        <w:t>的水土保持监测工作，接受委托后，我单位成立了</w:t>
      </w:r>
      <w:r>
        <w:rPr>
          <w:rFonts w:hint="eastAsia" w:cs="Times New Roman"/>
          <w:color w:val="auto"/>
          <w:szCs w:val="28"/>
        </w:rPr>
        <w:t>G320线普安江西坡至三板桥段改扩建工程（县城段）</w:t>
      </w:r>
      <w:r>
        <w:rPr>
          <w:rFonts w:cs="Times New Roman"/>
          <w:color w:val="auto"/>
          <w:szCs w:val="28"/>
        </w:rPr>
        <w:t>水土保持监测项目小组，并制定了监测工作计划。小组成员共包括</w:t>
      </w:r>
      <w:r>
        <w:rPr>
          <w:rFonts w:hint="eastAsia" w:cs="Times New Roman"/>
          <w:color w:val="auto"/>
          <w:szCs w:val="28"/>
          <w:lang w:val="en-US" w:eastAsia="zh-CN"/>
        </w:rPr>
        <w:t>4</w:t>
      </w:r>
      <w:r>
        <w:rPr>
          <w:rFonts w:cs="Times New Roman"/>
          <w:color w:val="auto"/>
          <w:szCs w:val="28"/>
        </w:rPr>
        <w:t>名管理技术人员，涉及水土保持、水工</w:t>
      </w:r>
      <w:r>
        <w:rPr>
          <w:rFonts w:hint="eastAsia" w:cs="Times New Roman"/>
          <w:color w:val="auto"/>
          <w:szCs w:val="28"/>
          <w:lang w:eastAsia="zh-CN"/>
        </w:rPr>
        <w:t>、</w:t>
      </w:r>
      <w:r>
        <w:rPr>
          <w:rFonts w:cs="Times New Roman"/>
          <w:color w:val="auto"/>
          <w:szCs w:val="28"/>
        </w:rPr>
        <w:t>环境科学及地理科学等相关专业。按照监测工作计划，20</w:t>
      </w:r>
      <w:r>
        <w:rPr>
          <w:rFonts w:hint="eastAsia" w:cs="Times New Roman"/>
          <w:color w:val="auto"/>
          <w:szCs w:val="28"/>
        </w:rPr>
        <w:t>1</w:t>
      </w:r>
      <w:r>
        <w:rPr>
          <w:rFonts w:hint="eastAsia" w:cs="Times New Roman"/>
          <w:color w:val="auto"/>
          <w:szCs w:val="28"/>
          <w:lang w:val="en-US" w:eastAsia="zh-CN"/>
        </w:rPr>
        <w:t>6</w:t>
      </w:r>
      <w:r>
        <w:rPr>
          <w:rFonts w:cs="Times New Roman"/>
          <w:color w:val="auto"/>
          <w:szCs w:val="28"/>
        </w:rPr>
        <w:t>年</w:t>
      </w:r>
      <w:r>
        <w:rPr>
          <w:rFonts w:hint="eastAsia" w:cs="Times New Roman"/>
          <w:color w:val="auto"/>
          <w:szCs w:val="28"/>
          <w:lang w:val="en-US" w:eastAsia="zh-CN"/>
        </w:rPr>
        <w:t>1</w:t>
      </w:r>
      <w:r>
        <w:rPr>
          <w:rFonts w:cs="Times New Roman"/>
          <w:color w:val="auto"/>
          <w:szCs w:val="28"/>
        </w:rPr>
        <w:t>月，我单位组织相关监测技术人员对项目建设区进行了全面的现场踏勘，并收集了大量的相关资料。通过对收集的数据、资料的整理、分析、总结，并结合工程建设实际情况，依据相关水土保持监测技术规范，编制完成了《</w:t>
      </w:r>
      <w:r>
        <w:rPr>
          <w:rFonts w:hint="eastAsia" w:cs="Times New Roman"/>
          <w:color w:val="auto"/>
          <w:szCs w:val="28"/>
        </w:rPr>
        <w:t>G320线普安江西坡至三板桥段改扩建工程（县城段）</w:t>
      </w:r>
      <w:r>
        <w:rPr>
          <w:rFonts w:cs="Times New Roman"/>
          <w:color w:val="auto"/>
          <w:szCs w:val="28"/>
        </w:rPr>
        <w:t>水土保持监测实施方案》。本项目采用地面定位观测及调查监测相结合的监测技术体系，对项目建设区内的主体工程建设进度、工程建设扰动地表面积、水土流失灾害隐患、水土流失及造成的危害、水土保持工程建设情况、水土流失防治效果、水土保持工程设计及水土保持管理等开展监测。</w:t>
      </w:r>
    </w:p>
    <w:p>
      <w:pPr>
        <w:pStyle w:val="4"/>
        <w:rPr>
          <w:rFonts w:hint="default"/>
          <w:color w:val="auto"/>
        </w:rPr>
      </w:pPr>
      <w:bookmarkStart w:id="49" w:name="_Toc267249642"/>
      <w:bookmarkStart w:id="50" w:name="_Toc430627071"/>
      <w:bookmarkStart w:id="51" w:name="_Toc359583381"/>
      <w:bookmarkStart w:id="52" w:name="_Toc281936240"/>
      <w:r>
        <w:rPr>
          <w:rFonts w:hint="default"/>
          <w:color w:val="auto"/>
        </w:rPr>
        <w:t>1.</w:t>
      </w:r>
      <w:r>
        <w:rPr>
          <w:rFonts w:hint="eastAsia"/>
          <w:color w:val="auto"/>
          <w:lang w:val="en-US" w:eastAsia="zh-CN"/>
        </w:rPr>
        <w:t>4</w:t>
      </w:r>
      <w:r>
        <w:rPr>
          <w:rFonts w:hint="default"/>
          <w:color w:val="auto"/>
        </w:rPr>
        <w:t>.4监测点布设</w:t>
      </w:r>
      <w:bookmarkEnd w:id="49"/>
      <w:bookmarkEnd w:id="50"/>
      <w:bookmarkEnd w:id="51"/>
      <w:bookmarkEnd w:id="52"/>
      <w:bookmarkStart w:id="53" w:name="_Toc267249643"/>
      <w:bookmarkStart w:id="54" w:name="_Toc359583382"/>
      <w:bookmarkStart w:id="55" w:name="_Toc281936241"/>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(一)监测点布设的基本原则</w:t>
      </w:r>
      <w:bookmarkEnd w:id="53"/>
      <w:bookmarkEnd w:id="54"/>
      <w:bookmarkEnd w:id="55"/>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(1)代表性原则</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结合新增水土流失预测结果及监测重点地段及重点对象，选择具有水土流失代表性的场所进行监测；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(2)可操作性原则</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结合工程项目对水土流失的影响特点，力求经济、适用、可操作；</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(3)结合工程实际情况布设原则</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布设水土保持监测点应结合工程实际情况，这样才能更好的为项目水土保持监测服务，使得水土保持监测工作与项目具体情况接轨；</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(4)时段对应性原则</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工程建设期，在工程建设区建立适当的监测点，建立原则主要以能有效、全面的监测水土流失状况、危害及防治措施的效果为主。</w:t>
      </w:r>
    </w:p>
    <w:p>
      <w:pPr>
        <w:rPr>
          <w:rFonts w:hint="default" w:ascii="Times New Roman" w:hAnsi="Times New Roman" w:eastAsia="仿宋_GB2312" w:cs="Times New Roman"/>
          <w:color w:val="auto"/>
          <w:spacing w:val="0"/>
          <w:sz w:val="24"/>
          <w:szCs w:val="28"/>
        </w:rPr>
      </w:pPr>
      <w:r>
        <w:rPr>
          <w:rFonts w:hint="default" w:ascii="Times New Roman" w:hAnsi="Times New Roman" w:eastAsia="仿宋_GB2312" w:cs="Times New Roman"/>
          <w:color w:val="auto"/>
          <w:spacing w:val="0"/>
          <w:sz w:val="24"/>
        </w:rPr>
        <w:t>林草植被恢复期，在上述监测点的基础上，在项目直接影响区内增设调查样点，建立原则以能反映人类活动对水土流失及生态环境的影响为主。</w:t>
      </w:r>
    </w:p>
    <w:p>
      <w:pPr>
        <w:ind w:firstLine="480"/>
        <w:rPr>
          <w:rFonts w:cs="Times New Roman"/>
          <w:color w:val="auto"/>
        </w:rPr>
      </w:pPr>
      <w:bookmarkStart w:id="56" w:name="_Toc359583384"/>
      <w:bookmarkStart w:id="57" w:name="_Toc281936243"/>
      <w:bookmarkStart w:id="58" w:name="_Toc267249645"/>
      <w:bookmarkStart w:id="59" w:name="_Toc427054639"/>
      <w:bookmarkStart w:id="60" w:name="_Toc400530773"/>
      <w:bookmarkStart w:id="61" w:name="_Toc400529672"/>
      <w:bookmarkStart w:id="62" w:name="_Toc371174604"/>
      <w:r>
        <w:rPr>
          <w:rFonts w:cs="Times New Roman"/>
          <w:color w:val="auto"/>
        </w:rPr>
        <w:t>（二）监测点布设结果</w:t>
      </w:r>
      <w:bookmarkEnd w:id="56"/>
      <w:bookmarkEnd w:id="57"/>
      <w:bookmarkEnd w:id="58"/>
    </w:p>
    <w:p>
      <w:pPr>
        <w:topLinePunct/>
        <w:ind w:firstLine="480"/>
        <w:rPr>
          <w:rFonts w:cs="Times New Roman"/>
          <w:color w:val="auto"/>
        </w:rPr>
      </w:pPr>
      <w:bookmarkStart w:id="63" w:name="_Toc241203316"/>
      <w:bookmarkStart w:id="64" w:name="_Toc359583385"/>
      <w:r>
        <w:rPr>
          <w:rFonts w:hint="eastAsia"/>
          <w:color w:val="auto"/>
        </w:rPr>
        <w:t>根据本项目的实际情况，监测小组通过</w:t>
      </w:r>
      <w:r>
        <w:rPr>
          <w:color w:val="auto"/>
        </w:rPr>
        <w:t>资料调阅、地面观测和调查监测等相结合的方式，对工程进行监测。按照水土保持监测规范，本工程共布设</w:t>
      </w:r>
      <w:r>
        <w:rPr>
          <w:rFonts w:hint="eastAsia"/>
          <w:color w:val="auto"/>
          <w:lang w:val="en-US" w:eastAsia="zh-CN"/>
        </w:rPr>
        <w:t>2</w:t>
      </w:r>
      <w:r>
        <w:rPr>
          <w:color w:val="auto"/>
        </w:rPr>
        <w:t>个水土保持监测点，分别为：</w:t>
      </w:r>
      <w:r>
        <w:rPr>
          <w:rFonts w:hint="eastAsia"/>
          <w:color w:val="auto"/>
        </w:rPr>
        <w:t>路基工程区</w:t>
      </w:r>
      <w:r>
        <w:rPr>
          <w:rFonts w:hint="eastAsia"/>
          <w:color w:val="auto"/>
          <w:lang w:val="en-US" w:eastAsia="zh-CN"/>
        </w:rPr>
        <w:t>2</w:t>
      </w:r>
      <w:r>
        <w:rPr>
          <w:color w:val="auto"/>
        </w:rPr>
        <w:t>个。</w:t>
      </w:r>
    </w:p>
    <w:p>
      <w:pPr>
        <w:ind w:firstLine="480"/>
        <w:rPr>
          <w:rFonts w:cs="Times New Roman"/>
          <w:color w:val="auto"/>
        </w:rPr>
      </w:pPr>
      <w:r>
        <w:rPr>
          <w:rFonts w:cs="Times New Roman"/>
          <w:color w:val="auto"/>
        </w:rPr>
        <w:t>（三）监测重点地段、重点对象</w:t>
      </w:r>
      <w:bookmarkEnd w:id="63"/>
      <w:bookmarkEnd w:id="64"/>
    </w:p>
    <w:p>
      <w:pPr>
        <w:rPr>
          <w:rFonts w:hint="eastAsia" w:ascii="Times New Roman" w:hAnsi="Times New Roman" w:cs="Times New Roman"/>
          <w:color w:val="auto"/>
          <w:spacing w:val="0"/>
          <w:sz w:val="24"/>
          <w:lang w:val="en-US" w:eastAsia="zh-CN"/>
        </w:rPr>
        <w:sectPr>
          <w:pgSz w:w="11906" w:h="16838"/>
          <w:pgMar w:top="1304" w:right="1418" w:bottom="1247" w:left="1701" w:header="851" w:footer="992" w:gutter="0"/>
          <w:pgBorders>
            <w:top w:val="none" w:sz="0" w:space="0"/>
            <w:left w:val="none" w:sz="0" w:space="0"/>
            <w:bottom w:val="none" w:sz="0" w:space="0"/>
            <w:right w:val="none" w:sz="0" w:space="0"/>
          </w:pgBorders>
          <w:pgNumType w:fmt="decimal"/>
          <w:cols w:space="720" w:num="1"/>
          <w:docGrid w:linePitch="326" w:charSpace="0"/>
        </w:sectPr>
      </w:pPr>
      <w:r>
        <w:rPr>
          <w:rFonts w:cs="Times New Roman"/>
          <w:color w:val="auto"/>
        </w:rPr>
        <w:t>在</w:t>
      </w:r>
      <w:r>
        <w:rPr>
          <w:rFonts w:hint="eastAsia" w:cs="Times New Roman"/>
          <w:color w:val="auto"/>
        </w:rPr>
        <w:t>建设</w:t>
      </w:r>
      <w:r>
        <w:rPr>
          <w:rFonts w:cs="Times New Roman"/>
          <w:color w:val="auto"/>
        </w:rPr>
        <w:t>期中，</w:t>
      </w:r>
      <w:r>
        <w:rPr>
          <w:rFonts w:hint="eastAsia" w:cs="Times New Roman"/>
          <w:color w:val="auto"/>
        </w:rPr>
        <w:t>随着本项目逐渐被扰动，裸露面积逐渐扩大，道路区出现大面积的裸露地表和开挖边坡，极大地加重了水土流失，若不采取措施，将存在一定的水土流失灾害隐患，因此</w:t>
      </w:r>
      <w:r>
        <w:rPr>
          <w:rFonts w:cs="Times New Roman"/>
          <w:color w:val="auto"/>
        </w:rPr>
        <w:t>，本工程监测的重点区域</w:t>
      </w:r>
      <w:r>
        <w:rPr>
          <w:rFonts w:hint="eastAsia" w:cs="Times New Roman"/>
          <w:color w:val="auto"/>
        </w:rPr>
        <w:t>为道路区开挖边区域。</w:t>
      </w:r>
    </w:p>
    <w:p>
      <w:pPr>
        <w:pStyle w:val="2"/>
        <w:rPr>
          <w:rFonts w:hint="default"/>
          <w:color w:val="auto"/>
        </w:rPr>
      </w:pPr>
      <w:bookmarkStart w:id="65" w:name="_Toc11309"/>
      <w:r>
        <w:rPr>
          <w:rFonts w:hint="default"/>
          <w:color w:val="auto"/>
        </w:rPr>
        <w:t>2监测内容、方法</w:t>
      </w:r>
      <w:bookmarkEnd w:id="59"/>
      <w:r>
        <w:rPr>
          <w:rFonts w:hint="default"/>
          <w:color w:val="auto"/>
        </w:rPr>
        <w:t>及过程</w:t>
      </w:r>
      <w:bookmarkEnd w:id="65"/>
    </w:p>
    <w:p>
      <w:pPr>
        <w:pStyle w:val="3"/>
        <w:rPr>
          <w:rFonts w:hint="default"/>
          <w:color w:val="auto"/>
        </w:rPr>
      </w:pPr>
      <w:bookmarkStart w:id="66" w:name="_Toc430627073"/>
      <w:bookmarkStart w:id="67" w:name="_Toc433701508"/>
      <w:bookmarkStart w:id="68" w:name="_Toc311"/>
      <w:bookmarkStart w:id="69" w:name="_Toc359583367"/>
      <w:r>
        <w:rPr>
          <w:rFonts w:hint="default"/>
          <w:color w:val="auto"/>
        </w:rPr>
        <w:t>2.1监测内容</w:t>
      </w:r>
      <w:bookmarkEnd w:id="66"/>
      <w:bookmarkEnd w:id="67"/>
      <w:bookmarkEnd w:id="68"/>
      <w:bookmarkEnd w:id="69"/>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本项目水土保持监测的主要内容包括：</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（一）项目区水土流失因子监测：包括地貌、地形和水系情况，建设项目占有地面积，扰动地表面积，项目挖方、填方数量，弃渣量及堆放面积，项目区林草覆盖率。</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（二）项目区水土流失状况监测：包括水土流失面积、水土流失量、水土流失程度的变化情况，水土流失防治责任范围内防治措施情况等。</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（三）水土流失灾害监测：主要包括下游河道泥沙、洪涝灾害、植被及生态环境变化，对周边地区经济、社会发展的影响等。</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（四）水土保持措施防治效果监测：包括防治措施的数量，林草措施成活率、保存率、生长情况及盖度，各项拦挡措施的拦渣保土效果。</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（五）主体工程建设进度监测：包括主体工程施工进度、相应的水土保持措施实施进度、主体工程实施的水土保持措施实施后的防治效果等，采用现场调查、测量，列表统计。</w:t>
      </w:r>
    </w:p>
    <w:p>
      <w:pPr>
        <w:pStyle w:val="4"/>
        <w:rPr>
          <w:rFonts w:hint="default"/>
          <w:color w:val="auto"/>
        </w:rPr>
      </w:pPr>
      <w:bookmarkStart w:id="70" w:name="_Toc430627074"/>
      <w:bookmarkStart w:id="71" w:name="_Toc359583368"/>
      <w:bookmarkStart w:id="72" w:name="_Toc281936222"/>
      <w:bookmarkStart w:id="73" w:name="_Toc267249625"/>
      <w:r>
        <w:rPr>
          <w:rFonts w:hint="default"/>
          <w:color w:val="auto"/>
        </w:rPr>
        <w:t>2.1.1防治责任范围监测</w:t>
      </w:r>
      <w:bookmarkEnd w:id="70"/>
      <w:bookmarkEnd w:id="71"/>
      <w:bookmarkEnd w:id="72"/>
      <w:bookmarkEnd w:id="73"/>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防治责任范围监测主要是在项目的运行期开展监测工作，主要包括项目建设区和直接影响区。</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(1)建设区</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A 永久性占地：永久性占地是指项目建设征地红线范围内、由项目建设者（或业主）负责管辖和承担水土保持法律责任的地方。永久性占地面积由国土部门按权限批准。水土保持监测是对红线范围地区进行认真复核，监测项目建设有无超范围开发的情况，以及各阶段永久性占地的变化情况。</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B 临时性占地：临时性占地是指因主体工程开发需要、临时占用的部分土地，土地管辖权仍属于原单位（或个人），建设单位无土地管辖权。水土保持监测是复核临时性占地面积有否超范围使用。</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C 扰动地表面积：地表面积是指开发建设项目在建设过程中扰动地表行为造成破坏或占用的面积。对原有地表植被或地形地貌发生改变的行为，均属于扰动地表行为。水土保持监测内容为认真复核扰动地表面积。</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(2)影响区</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主要指因项目建设引起的水土流失影响范围内（项目建设区以外）。水土保持监测主要对直接影响区是否存在占用、破坏等情况进行调查。</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根据项目建设区及直接影响区面积变化情况，对整个项目的全部区域在项目建设过程中实际发生的水土流失防治责任范围变化情况进行监测。</w:t>
      </w:r>
    </w:p>
    <w:p>
      <w:pPr>
        <w:pStyle w:val="4"/>
        <w:rPr>
          <w:rFonts w:hint="default"/>
          <w:color w:val="auto"/>
        </w:rPr>
      </w:pPr>
      <w:bookmarkStart w:id="74" w:name="_Toc430627075"/>
      <w:bookmarkStart w:id="75" w:name="_Toc359583369"/>
      <w:bookmarkStart w:id="76" w:name="_Toc281936223"/>
      <w:bookmarkStart w:id="77" w:name="_Toc267249626"/>
      <w:r>
        <w:rPr>
          <w:rFonts w:hint="default"/>
          <w:color w:val="auto"/>
        </w:rPr>
        <w:t>2.1.2取土（石）、弃渣监测</w:t>
      </w:r>
      <w:bookmarkEnd w:id="74"/>
      <w:bookmarkEnd w:id="75"/>
      <w:bookmarkEnd w:id="76"/>
      <w:bookmarkEnd w:id="77"/>
    </w:p>
    <w:p>
      <w:pPr>
        <w:rPr>
          <w:rFonts w:hint="default" w:ascii="Times New Roman" w:hAnsi="Times New Roman" w:eastAsia="仿宋_GB2312" w:cs="Times New Roman"/>
          <w:color w:val="auto"/>
          <w:spacing w:val="0"/>
          <w:sz w:val="24"/>
        </w:rPr>
      </w:pPr>
      <w:r>
        <w:rPr>
          <w:rFonts w:hint="eastAsia" w:cs="Times New Roman"/>
          <w:color w:val="auto"/>
          <w:spacing w:val="0"/>
          <w:sz w:val="24"/>
          <w:lang w:val="en-US" w:eastAsia="zh-CN"/>
        </w:rPr>
        <w:t>根据主体工程资料及现场监测，本项目未设置取料场和弃渣场。</w:t>
      </w:r>
    </w:p>
    <w:p>
      <w:pPr>
        <w:pStyle w:val="4"/>
        <w:rPr>
          <w:rFonts w:hint="default"/>
          <w:color w:val="auto"/>
        </w:rPr>
      </w:pPr>
      <w:bookmarkStart w:id="78" w:name="_Toc430627076"/>
      <w:bookmarkStart w:id="79" w:name="_Toc359583370"/>
      <w:bookmarkStart w:id="80" w:name="_Toc267249627"/>
      <w:bookmarkStart w:id="81" w:name="_Toc281936224"/>
      <w:r>
        <w:rPr>
          <w:rFonts w:hint="default"/>
          <w:color w:val="auto"/>
        </w:rPr>
        <w:t>2.1.3水土流失防治监测</w:t>
      </w:r>
      <w:bookmarkEnd w:id="78"/>
      <w:bookmarkEnd w:id="79"/>
      <w:bookmarkEnd w:id="80"/>
      <w:bookmarkEnd w:id="81"/>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水土流失防治监测主要是运行期开展监测工作，监测内容主要包括水土流失状况监测、水土保持措施防治效果监测和水土流失危害监测。土流失防治监测主要包括水土流失状况监测、水土保持措施防治效果监测和水土流失危害监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(1)水土流失状况监测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主要监测项目建设区内土壤侵蚀类型及形式、水土流失面积。根据本项目所在地区实际情况，土壤侵蚀的类型主要为水力侵蚀及重力侵蚀，其中，水力侵蚀形式分为沟蚀和面蚀。此外，对监测内容还包括水土流失面积的监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A 水力侵蚀：面蚀-降雨和地表径流使坡地表土比较均匀剥蚀的一种水力侵蚀包括溅蚀、片蚀和细沟侵蚀。沟蚀-坡面径流冲刷土壤或土体，并切割陆地地表形成沟道的过程，又称线状侵蚀或沟状侵蚀。</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B 重力侵蚀：坡地表层土石物质，主要由于受到重力作用，失去平衡，发生位移和堆积的现象，称为重力侵蚀。</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C 水土流失面积：除微度侵蚀外，其他强度的侵蚀面积统称为水土流失面积。</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(2)运行期水土保持措施防治效果监测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A 水土保持防治措施（工程措施和植物措施）的数量和质量；</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B 工程防护措施的稳定性、完好程度和运行情况；</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C 林草的生长发育情况（树高、乔木胸径、灌木冠幅）、成活率、保存率、抗性及植被覆盖率；</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D 各种已实施的水土保持措施的拦沙（渣）保土效果监测，包括挖方、填方数量及面积、弃土、弃石、弃渣量及堆放面积；控制土壤流失量、提高拦渣率、改善生态环境的作用等。</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E 防治目标监测，监测各个防治目标的达标情况。</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F 监督、管理措施的落实情况</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运行期水土保持措施防治效果的监测是针对整个项目的全部区域开展的。</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(3)水土流失危害监测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A 对周边或下游河道、天然排水通道的影响情况：监测水土流失是否流入项目建设区周边或下游河道、天然排水通道，是否对其产生严重危害等影响。</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B 对周边影响情况：根据项目实际情况，监测项目建设是否对周边产生影响或危害。</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C 其他水土流失危害：除上述几类危害外，监测项目建设是否还造成了其他的水土流失危害。</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lang w:val="en-US" w:eastAsia="zh-CN"/>
        </w:rPr>
        <w:t>根据现场调查，本项目在建设过程中，实施了完善的水土流失危害防治措施及应急预案，通过监测人员对项目建设区造成的水土流失对周边农田、乡村道路及植被的危害调查、对周边民房、居民造成的影响状况、水土流失危害趋势以及可能发生灾害现象、造成水土流失对区域生态环境影响状况等的现场调查结果显示，本项目建设期间没有水土流失危害事件的发生。</w:t>
      </w:r>
    </w:p>
    <w:p>
      <w:pPr>
        <w:pStyle w:val="4"/>
        <w:rPr>
          <w:rFonts w:hint="default"/>
          <w:color w:val="auto"/>
        </w:rPr>
      </w:pPr>
      <w:bookmarkStart w:id="82" w:name="_Toc281936225"/>
      <w:bookmarkStart w:id="83" w:name="_Toc430627077"/>
      <w:bookmarkStart w:id="84" w:name="_Toc359583371"/>
      <w:bookmarkStart w:id="85" w:name="_Toc267249628"/>
      <w:r>
        <w:rPr>
          <w:rFonts w:hint="default"/>
          <w:color w:val="auto"/>
        </w:rPr>
        <w:t>2.1.4土壤流失量监测</w:t>
      </w:r>
      <w:bookmarkEnd w:id="82"/>
      <w:bookmarkEnd w:id="83"/>
      <w:bookmarkEnd w:id="84"/>
      <w:bookmarkEnd w:id="85"/>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土壤流失量监测主要包括水土流失面积监测、土壤流失量监测、场内潜在土壤流失量监测、水土流失危害监测，</w:t>
      </w:r>
      <w:r>
        <w:rPr>
          <w:rFonts w:hint="eastAsia" w:cs="Times New Roman"/>
          <w:color w:val="auto"/>
          <w:spacing w:val="0"/>
          <w:sz w:val="24"/>
          <w:lang w:eastAsia="zh-CN"/>
        </w:rPr>
        <w:t>建设期</w:t>
      </w:r>
      <w:r>
        <w:rPr>
          <w:rFonts w:hint="default" w:ascii="Times New Roman" w:hAnsi="Times New Roman" w:eastAsia="仿宋_GB2312" w:cs="Times New Roman"/>
          <w:color w:val="auto"/>
          <w:spacing w:val="0"/>
          <w:sz w:val="24"/>
        </w:rPr>
        <w:t>期重点监测区域是道路开挖回填边坡的拦挡、道路排水及裸露地表植被恢复的水土流失危害监测。各监测时段监测内容详见表2-</w:t>
      </w:r>
      <w:r>
        <w:rPr>
          <w:rFonts w:hint="eastAsia" w:ascii="Times New Roman" w:hAnsi="Times New Roman" w:eastAsia="仿宋_GB2312" w:cs="Times New Roman"/>
          <w:color w:val="auto"/>
          <w:spacing w:val="0"/>
          <w:sz w:val="24"/>
          <w:lang w:val="en-US" w:eastAsia="zh-CN"/>
        </w:rPr>
        <w:t>1</w:t>
      </w:r>
      <w:r>
        <w:rPr>
          <w:rFonts w:hint="default" w:ascii="Times New Roman" w:hAnsi="Times New Roman" w:eastAsia="仿宋_GB2312" w:cs="Times New Roman"/>
          <w:color w:val="auto"/>
          <w:spacing w:val="0"/>
          <w:sz w:val="24"/>
        </w:rPr>
        <w:t>。</w:t>
      </w:r>
    </w:p>
    <w:p>
      <w:pPr>
        <w:pStyle w:val="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表2-</w:t>
      </w:r>
      <w:r>
        <w:rPr>
          <w:rFonts w:hint="eastAsia" w:ascii="Times New Roman" w:hAnsi="Times New Roman" w:eastAsia="仿宋_GB2312" w:cs="Times New Roman"/>
          <w:color w:val="auto"/>
          <w:spacing w:val="0"/>
          <w:sz w:val="24"/>
          <w:lang w:val="en-US" w:eastAsia="zh-CN"/>
        </w:rPr>
        <w:t>1</w:t>
      </w:r>
      <w:r>
        <w:rPr>
          <w:rFonts w:hint="default" w:ascii="Times New Roman" w:hAnsi="Times New Roman" w:eastAsia="仿宋_GB2312" w:cs="Times New Roman"/>
          <w:color w:val="auto"/>
          <w:spacing w:val="0"/>
          <w:sz w:val="24"/>
        </w:rPr>
        <w:t xml:space="preserve">           项目各监测时段监测内容</w:t>
      </w:r>
    </w:p>
    <w:tbl>
      <w:tblPr>
        <w:tblStyle w:val="11"/>
        <w:tblW w:w="85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60"/>
        <w:gridCol w:w="709"/>
        <w:gridCol w:w="2400"/>
        <w:gridCol w:w="445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bookmarkStart w:id="86" w:name="_Toc433701509"/>
            <w:bookmarkStart w:id="87" w:name="_Toc430627078"/>
            <w:bookmarkStart w:id="88" w:name="_Toc359583373"/>
            <w:r>
              <w:rPr>
                <w:rFonts w:hint="default" w:ascii="Times New Roman" w:hAnsi="Times New Roman" w:eastAsia="仿宋_GB2312" w:cs="Times New Roman"/>
                <w:color w:val="auto"/>
                <w:spacing w:val="0"/>
                <w:sz w:val="24"/>
                <w:szCs w:val="21"/>
              </w:rPr>
              <w:t>监测时段</w:t>
            </w:r>
          </w:p>
        </w:tc>
        <w:tc>
          <w:tcPr>
            <w:tcW w:w="709"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监测分区</w:t>
            </w:r>
          </w:p>
        </w:tc>
        <w:tc>
          <w:tcPr>
            <w:tcW w:w="6853" w:type="dxa"/>
            <w:gridSpan w:val="2"/>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监测内容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restart"/>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施工期</w:t>
            </w:r>
          </w:p>
        </w:tc>
        <w:tc>
          <w:tcPr>
            <w:tcW w:w="709" w:type="dxa"/>
            <w:vMerge w:val="restart"/>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整个项目建设区</w:t>
            </w:r>
          </w:p>
        </w:tc>
        <w:tc>
          <w:tcPr>
            <w:tcW w:w="2400" w:type="dxa"/>
            <w:vMerge w:val="restart"/>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防治责任范围监测</w:t>
            </w: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复核项目建设区及直接影响区实际面积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项目建设期间防治责任范围变化情况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弃土弃渣动态监测</w:t>
            </w: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监测弃渣量、岩土类型、弃土弃渣堆放情况（面积、堆渣高度、坡长、坡度等）、防护措施进展情况及拦渣率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restart"/>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水土流失防治动态监测</w:t>
            </w: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土壤侵蚀类型及形式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水土流失面积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实施的水土保持措施数量及质量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水土保持措施完好性、运行情况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防治要求及管理措施实施情况监测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对周边河道及水利设施的影响情况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造成的其他水土流失危害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restart"/>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施工期土壤流失量</w:t>
            </w:r>
          </w:p>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动态监测</w:t>
            </w: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项目建设过程中项目区的地形地貌、气象、土壤、植被、水文、社会经济因子进行调查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土壤侵蚀强度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土壤侵蚀模数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土壤侵蚀量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重大水土流失事件动态监测</w:t>
            </w: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及时反映重大水土流失事件，并上报监测管理机构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restart"/>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水土保持措施运行初期（林草植被恢复期）</w:t>
            </w:r>
          </w:p>
        </w:tc>
        <w:tc>
          <w:tcPr>
            <w:tcW w:w="709" w:type="dxa"/>
            <w:vMerge w:val="restart"/>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整个项目建设区</w:t>
            </w:r>
          </w:p>
        </w:tc>
        <w:tc>
          <w:tcPr>
            <w:tcW w:w="2400" w:type="dxa"/>
            <w:vMerge w:val="restart"/>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水土保持措施防治效果</w:t>
            </w: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实施的水土保持措施数量及质量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水土保持措施完好性、运行情况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林草的生长发育情况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各种已实施的措施的拦沙（渣）保土效果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防治目标监测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监督、管理措施的落实情况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restart"/>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临时占地区</w:t>
            </w:r>
          </w:p>
        </w:tc>
        <w:tc>
          <w:tcPr>
            <w:tcW w:w="2400"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土壤流失量动态监测</w:t>
            </w: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土壤侵蚀强度、土壤侵蚀模数及土壤侵蚀量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水土流失状况监测</w:t>
            </w: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对水土流失状况的监测实施情况及效果的监测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水土保持措施防治效果</w:t>
            </w: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防治措施实施情况及效果的监测</w:t>
            </w:r>
          </w:p>
        </w:tc>
      </w:tr>
    </w:tbl>
    <w:p>
      <w:pPr>
        <w:pStyle w:val="3"/>
        <w:rPr>
          <w:rFonts w:hint="default"/>
          <w:color w:val="auto"/>
        </w:rPr>
      </w:pPr>
      <w:bookmarkStart w:id="89" w:name="_Toc5800"/>
      <w:r>
        <w:rPr>
          <w:rFonts w:hint="default"/>
          <w:color w:val="auto"/>
        </w:rPr>
        <w:t>2.2监测方法</w:t>
      </w:r>
      <w:bookmarkEnd w:id="86"/>
      <w:bookmarkEnd w:id="87"/>
      <w:bookmarkEnd w:id="88"/>
      <w:bookmarkEnd w:id="89"/>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本项目水土保持监测方法主要采用了调查监测、面积监测、现场巡查监测相结合的方法。</w:t>
      </w:r>
    </w:p>
    <w:p>
      <w:pPr>
        <w:pStyle w:val="4"/>
        <w:rPr>
          <w:rFonts w:hint="default"/>
          <w:color w:val="auto"/>
        </w:rPr>
      </w:pPr>
      <w:bookmarkStart w:id="90" w:name="_Toc267249637"/>
      <w:bookmarkStart w:id="91" w:name="_Toc281936235"/>
      <w:bookmarkStart w:id="92" w:name="_Toc359583374"/>
      <w:bookmarkStart w:id="93" w:name="_Toc430627079"/>
      <w:r>
        <w:rPr>
          <w:rFonts w:hint="default"/>
          <w:color w:val="auto"/>
        </w:rPr>
        <w:t>2.2.1调查监测</w:t>
      </w:r>
      <w:bookmarkEnd w:id="90"/>
      <w:bookmarkEnd w:id="91"/>
      <w:bookmarkEnd w:id="92"/>
      <w:bookmarkEnd w:id="93"/>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调查监测是指定期采取全面调查的方式，通过现场实地勘测，采用GPS定位仪结合地形图、数码相机、测距仪、尺子等工具，测定不同分区的的地表扰动类型和不同类型的面积。填表记录每个扰动类型区的基本特征（特别是堆渣）及水土保持措施（拦挡工程、护坡工程和土地整治工程等）实施情况。</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(1)面积监测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面积监测主要通过收集项目资料及采用手持式GPS定位仪测定获取。首先对调查区按照扰动类型进行分区，如堆渣、开挖面等，然后利用GPS沿各分区边界走一圈，确定各个分区的面积。</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(2)植被监测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植被监测主要是选取有代表性的地块作为标准地，标准地的面积为投影面积，要求乔木林20m×20m、灌木林5m×5m、草地2m×2m。分别取标准地进行观测并计算林地郁闭度、草地盖度和类型区林草覆盖度。植被监测主要是在运行期开展监测工作，针对整个项目的全部区域进行监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(3)水土流失因子</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水土流失因子监测是在施工期和运行期开展监测工作。</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对于项目建设区的地形地貌因子、气象因子、植被因子、水文因子、原土地利用情况、社会因子及经济因子，在现场实地踏勘的基础上查阅相关资料、询问、对照《</w:t>
      </w:r>
      <w:r>
        <w:rPr>
          <w:rFonts w:hint="eastAsia" w:cs="Times New Roman"/>
          <w:color w:val="auto"/>
          <w:spacing w:val="0"/>
          <w:sz w:val="24"/>
          <w:lang w:eastAsia="zh-CN"/>
        </w:rPr>
        <w:t>G320线普安江西坡至三板桥段改扩建工程</w:t>
      </w:r>
      <w:r>
        <w:rPr>
          <w:rFonts w:hint="default" w:ascii="Times New Roman" w:hAnsi="Times New Roman" w:eastAsia="仿宋_GB2312" w:cs="Times New Roman"/>
          <w:color w:val="auto"/>
          <w:spacing w:val="0"/>
          <w:sz w:val="24"/>
        </w:rPr>
        <w:t>水土保持方案报告书》（报批稿）等形式获取。</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对于土壤因子的监测指标有：土壤类型、地面组成物质、土壤容重、土壤抗蚀性，具体监测方法如下：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A 土壤类型及地面组成物质识别：监测工作鉴别土壤质地时常在野外进行，因此必须掌握一定的野外鉴别土壤质地的方法及标准.</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B 土壤含水率测定：用铝盒在剖面上取三个土样，带回室内称得湿土重，然后在105度烘箱中烘8小时至恒重，称得干土重，用下列公式计算土壤含水率。</w:t>
      </w:r>
    </w:p>
    <w:p>
      <w:pPr>
        <w:jc w:val="cente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position w:val="-26"/>
          <w:sz w:val="24"/>
        </w:rPr>
        <w:object>
          <v:shape id="_x0000_i1025" o:spt="75" type="#_x0000_t75" style="height:33pt;width:182pt;" o:ole="t" filled="f" o:preferrelative="t" stroked="f" coordsize="21600,21600">
            <v:path/>
            <v:fill on="f" focussize="0,0"/>
            <v:stroke on="f"/>
            <v:imagedata r:id="rId19" o:title=""/>
            <o:lock v:ext="edit" aspectratio="t"/>
            <w10:wrap type="none"/>
            <w10:anchorlock/>
          </v:shape>
          <o:OLEObject Type="Embed" ProgID="Equation.KSEE3" ShapeID="_x0000_i1025" DrawAspect="Content" ObjectID="_1468075725" r:id="rId18">
            <o:LockedField>false</o:LockedField>
          </o:OLEObject>
        </w:objec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C 孔隙度、容重测定：用环刀法在土壤剖面上取土，带回室内称重，在进行浸泡后，计算土壤的毛管孔隙度、非毛管孔隙度、总孔隙度、田间持水量和容重。</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D 土壤抗蚀性测定：土壤抗蚀性指单位面积上表土层抵抗水力冲刷的能力，值越大抵抗能力越强，值越小抵抗能力越弱。土壤抗性指标采用土壤袖珍剪力仪现场测定。</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水土流失因子监测中的地形地貌因子、气象因子、植被因子、水文因子、原土地利用情况、社会因子及经济因子是针对全区开展的；土壤因子的监测是根据实际需要，在项目的不同区域选取有代表性的土样进行测算，确定不同扰动类型下的土壤其土壤侵蚀强度及侵蚀量的关系。</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(4)水土流失防治动态监测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水土流失防治动态监测主要是在施工期和运行期开展监测工作。</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A 水土流失状况监测：主要调查的监测指标为项目建设区内土壤侵蚀类型、形式及型式。对于土壤侵蚀类型及形式，采取现场识别的方式获取；土壤侵蚀强度根据实地踏勘，对照《土壤侵蚀分类分级标准》（SL190-2007）进行确定。</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B 水土保持措施防治效果：包括防治措施的数量与质量。本项目整个项目建设区水土保持措施的数量主要由业主及施工单位提供，项目的施工质量主要由监理单位确定。</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水土保持监测需要对监测重点地段或重点对象的防治措施项目量进行实地测量，对于质量问题主要由监理确定。</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C防护工程的稳定性、完好程度和运行情况：本项目的防护工程主要指</w:t>
      </w:r>
      <w:r>
        <w:rPr>
          <w:rFonts w:hint="eastAsia" w:ascii="Times New Roman" w:hAnsi="Times New Roman" w:eastAsia="仿宋_GB2312" w:cs="Times New Roman"/>
          <w:color w:val="auto"/>
          <w:spacing w:val="0"/>
          <w:sz w:val="24"/>
          <w:lang w:eastAsia="zh-CN"/>
        </w:rPr>
        <w:t>浆砌石挡墙</w:t>
      </w:r>
      <w:r>
        <w:rPr>
          <w:rFonts w:hint="default" w:ascii="Times New Roman" w:hAnsi="Times New Roman" w:eastAsia="仿宋_GB2312" w:cs="Times New Roman"/>
          <w:color w:val="auto"/>
          <w:spacing w:val="0"/>
          <w:sz w:val="24"/>
        </w:rPr>
        <w:t>、护坡、排水沟等工程，工程的施工质量主要由监理单位确定，监测时主要查看其是否存在损害或砼裂缝、挡墙断裂或沉降等不稳定情况出现，做出定性描述。</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D水土流失防治要求及水土保持管理措施实施情况监测：主要采用实地调查、问询、收集水土保持大事记、收集业主针对水土保持相关政策等方式获得。</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E林草植被恢复：包括水土流失状况监测和林草措施防治效果监测。</w:t>
      </w:r>
    </w:p>
    <w:p>
      <w:pPr>
        <w:pStyle w:val="4"/>
        <w:rPr>
          <w:rFonts w:hint="default"/>
          <w:color w:val="auto"/>
        </w:rPr>
      </w:pPr>
      <w:bookmarkStart w:id="94" w:name="_Toc267249638"/>
      <w:bookmarkStart w:id="95" w:name="_Toc430627080"/>
      <w:bookmarkStart w:id="96" w:name="_Toc281936236"/>
      <w:bookmarkStart w:id="97" w:name="_Toc359583375"/>
      <w:r>
        <w:rPr>
          <w:rFonts w:hint="default"/>
          <w:color w:val="auto"/>
        </w:rPr>
        <w:t>2.2.2面积监测</w:t>
      </w:r>
      <w:bookmarkEnd w:id="94"/>
      <w:bookmarkEnd w:id="95"/>
      <w:bookmarkEnd w:id="96"/>
      <w:bookmarkEnd w:id="97"/>
    </w:p>
    <w:p>
      <w:pPr>
        <w:rPr>
          <w:rFonts w:hint="default" w:ascii="Times New Roman" w:hAnsi="Times New Roman" w:eastAsia="仿宋_GB2312" w:cs="Times New Roman"/>
          <w:color w:val="auto"/>
          <w:spacing w:val="0"/>
          <w:sz w:val="24"/>
        </w:rPr>
      </w:pPr>
      <w:bookmarkStart w:id="98" w:name="_Toc359583377"/>
      <w:bookmarkStart w:id="99" w:name="_Toc267249640"/>
      <w:bookmarkStart w:id="100" w:name="_Toc281936238"/>
      <w:r>
        <w:rPr>
          <w:rFonts w:hint="default" w:ascii="Times New Roman" w:hAnsi="Times New Roman" w:eastAsia="仿宋_GB2312" w:cs="Times New Roman"/>
          <w:color w:val="auto"/>
          <w:spacing w:val="0"/>
          <w:sz w:val="24"/>
        </w:rPr>
        <w:t>一、项目建设区</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（1）永久占地</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永久占地是工程建设单位为工程建设永久征地区域，水土保持监测过程中复核工程建设是否在红线范围内施工。</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（2）临时占地</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复核临时占地使用情况及扰动面积情况，是否合法租用，租用后是否恢复原地貌状况及原土地使用功能状况。</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二、直接影响区</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直接影响区为工程建设过程中可能造成该区域水土流失的区域，监测过程主要复核工程建设影响工程周边环境水土流失状况。</w:t>
      </w:r>
    </w:p>
    <w:p>
      <w:pPr>
        <w:pStyle w:val="4"/>
        <w:rPr>
          <w:rFonts w:hint="default"/>
          <w:color w:val="auto"/>
        </w:rPr>
      </w:pPr>
      <w:bookmarkStart w:id="101" w:name="_Toc430627081"/>
      <w:r>
        <w:rPr>
          <w:rFonts w:hint="default"/>
          <w:color w:val="auto"/>
        </w:rPr>
        <w:t>2.2.3现场巡查</w:t>
      </w:r>
      <w:bookmarkEnd w:id="98"/>
      <w:bookmarkEnd w:id="99"/>
      <w:bookmarkEnd w:id="100"/>
      <w:r>
        <w:rPr>
          <w:rFonts w:hint="default"/>
          <w:color w:val="auto"/>
        </w:rPr>
        <w:t>监测</w:t>
      </w:r>
      <w:bookmarkEnd w:id="101"/>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现场巡查监测主要是项目运行期针对整个建设区所采用的监测方法，尤其注意对于直接影响区的影响情况。巡查的主要内容是水土流失危害和重大水土流失事件动态监测。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(1)水土流失危害监测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A 对周边河道影响情况：通过实地踏勘、走访群众等形式进行监测。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B 对周边水利设施影响情况：通过实地踏勘、走访群众、询问水库管理人员等形式进行监测。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C 其他水土流失危害：通过实地踏勘、问卷调查等形式进行监测。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(2)重大水土流失事件监测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根据项目实际情况结合水土流失状况，按照现场实际情况开展监测工作。</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监测内容统与监测方法详见表2-2。</w:t>
      </w:r>
    </w:p>
    <w:p>
      <w:pPr>
        <w:pStyle w:val="17"/>
        <w:rPr>
          <w:rFonts w:hint="default" w:ascii="Times New Roman" w:hAnsi="Times New Roman" w:eastAsia="仿宋_GB2312" w:cs="Times New Roman"/>
          <w:color w:val="auto"/>
          <w:spacing w:val="0"/>
        </w:rPr>
      </w:pPr>
      <w:r>
        <w:rPr>
          <w:rFonts w:hint="default"/>
          <w:color w:val="auto"/>
        </w:rPr>
        <w:t>表2-2          项目监测时段监测内容一览表</w:t>
      </w:r>
    </w:p>
    <w:tbl>
      <w:tblPr>
        <w:tblStyle w:val="11"/>
        <w:tblW w:w="9003"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68"/>
        <w:gridCol w:w="711"/>
        <w:gridCol w:w="1940"/>
        <w:gridCol w:w="3983"/>
        <w:gridCol w:w="140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监测时段</w:t>
            </w:r>
          </w:p>
        </w:tc>
        <w:tc>
          <w:tcPr>
            <w:tcW w:w="71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监测分区</w:t>
            </w:r>
          </w:p>
        </w:tc>
        <w:tc>
          <w:tcPr>
            <w:tcW w:w="5923" w:type="dxa"/>
            <w:gridSpan w:val="2"/>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监测内容</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监测方法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vMerge w:val="restart"/>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施工期</w:t>
            </w:r>
          </w:p>
        </w:tc>
        <w:tc>
          <w:tcPr>
            <w:tcW w:w="711" w:type="dxa"/>
            <w:vMerge w:val="restart"/>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整个项目建设区</w:t>
            </w:r>
          </w:p>
        </w:tc>
        <w:tc>
          <w:tcPr>
            <w:tcW w:w="1940" w:type="dxa"/>
            <w:vMerge w:val="restart"/>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防治责任范围监测</w:t>
            </w:r>
          </w:p>
        </w:tc>
        <w:tc>
          <w:tcPr>
            <w:tcW w:w="398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复核项目建设区及直接影响区实际面积</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调查监测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11"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194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398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项目建设期间防治责任范围变化情况</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调查监测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11"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1940"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弃土弃渣动态监测</w:t>
            </w:r>
          </w:p>
        </w:tc>
        <w:tc>
          <w:tcPr>
            <w:tcW w:w="398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监测弃渣量、岩土类型、弃土弃渣堆放情况（面积、堆渣高度、坡长、坡度等）、防护措施进展情况及拦渣率）</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调查监测、巡查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11"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1940" w:type="dxa"/>
            <w:vMerge w:val="restart"/>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水土流失防治动态监测</w:t>
            </w:r>
          </w:p>
        </w:tc>
        <w:tc>
          <w:tcPr>
            <w:tcW w:w="398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土壤侵蚀类型及形式</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调查监测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11"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194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398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水土流失面积</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调查监测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11"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194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398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实施的水土保持措施数量及质量</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调查监测、巡查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11"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194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398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水土保持措施完好性、运行情况</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调查监测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11"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194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398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防治要求及管理措施实施情况监测</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调查监测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11"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194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398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对周边河道及水利设施的影响情况</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调查监测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11"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194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398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造成的其他水土流失危害</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调查监测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11"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1940" w:type="dxa"/>
            <w:vMerge w:val="restart"/>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施工期土壤流失量</w:t>
            </w:r>
          </w:p>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动态监测</w:t>
            </w:r>
          </w:p>
        </w:tc>
        <w:tc>
          <w:tcPr>
            <w:tcW w:w="398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项目建设过程中项目区的地形地貌、气象、土壤、植被、水文、社会经济因子进行调查</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调查监测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11"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194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398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土壤侵蚀强度</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调查监测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11"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194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398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土壤侵蚀模数</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调查监测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11"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194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398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土壤侵蚀量</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调查监测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11"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1940"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重大水土流失事件动态监测</w:t>
            </w:r>
          </w:p>
        </w:tc>
        <w:tc>
          <w:tcPr>
            <w:tcW w:w="398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及时反映重大水土流失事件，并上报监测管理机构</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调查监测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林草植被恢复期</w:t>
            </w:r>
          </w:p>
        </w:tc>
        <w:tc>
          <w:tcPr>
            <w:tcW w:w="71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整个项目建设区</w:t>
            </w:r>
          </w:p>
        </w:tc>
        <w:tc>
          <w:tcPr>
            <w:tcW w:w="1940"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水土保持措施防治效果</w:t>
            </w:r>
          </w:p>
        </w:tc>
        <w:tc>
          <w:tcPr>
            <w:tcW w:w="398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实施的水土保持措施数量及质量</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调查监测</w:t>
            </w:r>
          </w:p>
        </w:tc>
      </w:tr>
    </w:tbl>
    <w:p>
      <w:pPr>
        <w:rPr>
          <w:rFonts w:hint="default" w:ascii="Times New Roman" w:hAnsi="Times New Roman" w:eastAsia="仿宋_GB2312" w:cs="Times New Roman"/>
          <w:color w:val="auto"/>
          <w:spacing w:val="0"/>
          <w:sz w:val="24"/>
        </w:rPr>
      </w:pPr>
    </w:p>
    <w:p>
      <w:pPr>
        <w:pStyle w:val="3"/>
        <w:rPr>
          <w:rFonts w:hint="default"/>
          <w:color w:val="auto"/>
        </w:rPr>
      </w:pPr>
      <w:bookmarkStart w:id="102" w:name="_Toc20692"/>
      <w:r>
        <w:rPr>
          <w:rFonts w:hint="default"/>
          <w:color w:val="auto"/>
        </w:rPr>
        <w:t>2.3监测过程</w:t>
      </w:r>
      <w:bookmarkEnd w:id="102"/>
    </w:p>
    <w:bookmarkEnd w:id="60"/>
    <w:bookmarkEnd w:id="61"/>
    <w:bookmarkEnd w:id="62"/>
    <w:p>
      <w:pPr>
        <w:rPr>
          <w:color w:val="auto"/>
          <w:w w:val="95"/>
        </w:rPr>
      </w:pPr>
      <w:r>
        <w:rPr>
          <w:rFonts w:cs="Times New Roman"/>
          <w:color w:val="auto"/>
        </w:rPr>
        <w:t>根据《中华人民共和国水土保持法》、《关于规范生产建设项目水土保持监测工作的意见》（水保</w:t>
      </w:r>
      <w:r>
        <w:rPr>
          <w:rFonts w:hint="eastAsia" w:cs="Times New Roman"/>
          <w:color w:val="auto"/>
        </w:rPr>
        <w:t>〔</w:t>
      </w:r>
      <w:r>
        <w:rPr>
          <w:rFonts w:cs="Times New Roman"/>
          <w:color w:val="auto"/>
        </w:rPr>
        <w:t>2009</w:t>
      </w:r>
      <w:r>
        <w:rPr>
          <w:rFonts w:hint="eastAsia" w:cs="Times New Roman"/>
          <w:color w:val="auto"/>
        </w:rPr>
        <w:t>〕</w:t>
      </w:r>
      <w:r>
        <w:rPr>
          <w:rFonts w:cs="Times New Roman"/>
          <w:color w:val="auto"/>
        </w:rPr>
        <w:t>187号）及《水利部办公厅关于印发生产建设项目水土保持监测规程的通知》（办水保</w:t>
      </w:r>
      <w:r>
        <w:rPr>
          <w:rFonts w:hint="eastAsia" w:cs="Times New Roman"/>
          <w:color w:val="auto"/>
        </w:rPr>
        <w:t>〔</w:t>
      </w:r>
      <w:r>
        <w:rPr>
          <w:rFonts w:cs="Times New Roman"/>
          <w:color w:val="auto"/>
        </w:rPr>
        <w:t>2015</w:t>
      </w:r>
      <w:r>
        <w:rPr>
          <w:rFonts w:hint="eastAsia" w:cs="Times New Roman"/>
          <w:color w:val="auto"/>
        </w:rPr>
        <w:t>〕</w:t>
      </w:r>
      <w:r>
        <w:rPr>
          <w:rFonts w:cs="Times New Roman"/>
          <w:color w:val="auto"/>
        </w:rPr>
        <w:t>139），《生产建设项目水土保持监测单位水平评价管理办法（试行）》（中水会字</w:t>
      </w:r>
      <w:r>
        <w:rPr>
          <w:rFonts w:hint="eastAsia" w:cs="Times New Roman"/>
          <w:color w:val="auto"/>
        </w:rPr>
        <w:t>〔</w:t>
      </w:r>
      <w:r>
        <w:rPr>
          <w:rFonts w:cs="Times New Roman"/>
          <w:color w:val="auto"/>
        </w:rPr>
        <w:t>2015</w:t>
      </w:r>
      <w:r>
        <w:rPr>
          <w:rFonts w:hint="eastAsia" w:cs="Times New Roman"/>
          <w:color w:val="auto"/>
        </w:rPr>
        <w:t>〕</w:t>
      </w:r>
      <w:r>
        <w:rPr>
          <w:rFonts w:cs="Times New Roman"/>
          <w:color w:val="auto"/>
        </w:rPr>
        <w:t>第004号），</w:t>
      </w:r>
      <w:r>
        <w:rPr>
          <w:rFonts w:cs="Times New Roman"/>
          <w:color w:val="auto"/>
          <w:szCs w:val="28"/>
        </w:rPr>
        <w:t>201</w:t>
      </w:r>
      <w:r>
        <w:rPr>
          <w:rFonts w:hint="eastAsia" w:cs="Times New Roman"/>
          <w:color w:val="auto"/>
          <w:szCs w:val="28"/>
        </w:rPr>
        <w:t>8</w:t>
      </w:r>
      <w:r>
        <w:rPr>
          <w:rFonts w:cs="Times New Roman"/>
          <w:color w:val="auto"/>
          <w:szCs w:val="28"/>
        </w:rPr>
        <w:t>年</w:t>
      </w:r>
      <w:r>
        <w:rPr>
          <w:rFonts w:hint="eastAsia" w:cs="Times New Roman"/>
          <w:color w:val="auto"/>
          <w:szCs w:val="28"/>
        </w:rPr>
        <w:t>6</w:t>
      </w:r>
      <w:r>
        <w:rPr>
          <w:rFonts w:cs="Times New Roman"/>
          <w:color w:val="auto"/>
          <w:szCs w:val="28"/>
        </w:rPr>
        <w:t>月</w:t>
      </w:r>
      <w:r>
        <w:rPr>
          <w:rFonts w:hint="eastAsia" w:cs="Times New Roman"/>
          <w:color w:val="auto"/>
          <w:szCs w:val="28"/>
        </w:rPr>
        <w:t>普安县交通运输局</w:t>
      </w:r>
      <w:r>
        <w:rPr>
          <w:rFonts w:cs="Times New Roman"/>
          <w:color w:val="auto"/>
          <w:szCs w:val="28"/>
        </w:rPr>
        <w:t>委托</w:t>
      </w:r>
      <w:r>
        <w:rPr>
          <w:rFonts w:hint="eastAsia" w:cs="Times New Roman"/>
          <w:color w:val="auto"/>
          <w:szCs w:val="28"/>
        </w:rPr>
        <w:t>贵州天保生态股份有限公司</w:t>
      </w:r>
      <w:r>
        <w:rPr>
          <w:rFonts w:cs="Times New Roman"/>
          <w:color w:val="auto"/>
          <w:szCs w:val="28"/>
        </w:rPr>
        <w:t>承担</w:t>
      </w:r>
      <w:r>
        <w:rPr>
          <w:rFonts w:hint="eastAsia" w:cs="Times New Roman"/>
          <w:color w:val="auto"/>
          <w:szCs w:val="28"/>
        </w:rPr>
        <w:t>G320线普安江西坡至三板桥段改扩建工程（县城段）</w:t>
      </w:r>
      <w:r>
        <w:rPr>
          <w:rFonts w:cs="Times New Roman"/>
          <w:color w:val="auto"/>
          <w:szCs w:val="28"/>
        </w:rPr>
        <w:t>的水土保持监测工作，接受委托后，我单位成立了</w:t>
      </w:r>
      <w:r>
        <w:rPr>
          <w:rFonts w:hint="eastAsia" w:cs="Times New Roman"/>
          <w:color w:val="auto"/>
          <w:szCs w:val="28"/>
        </w:rPr>
        <w:t>G320线普安江西坡至三板桥段改扩建工程（县城段）</w:t>
      </w:r>
      <w:r>
        <w:rPr>
          <w:rFonts w:cs="Times New Roman"/>
          <w:color w:val="auto"/>
          <w:szCs w:val="28"/>
        </w:rPr>
        <w:t>水土保持监测项目小组，并制定了监测工作计划。小组成员共包括</w:t>
      </w:r>
      <w:r>
        <w:rPr>
          <w:rFonts w:hint="eastAsia" w:cs="Times New Roman"/>
          <w:color w:val="auto"/>
          <w:szCs w:val="28"/>
          <w:lang w:val="en-US" w:eastAsia="zh-CN"/>
        </w:rPr>
        <w:t>4</w:t>
      </w:r>
      <w:r>
        <w:rPr>
          <w:rFonts w:cs="Times New Roman"/>
          <w:color w:val="auto"/>
          <w:szCs w:val="28"/>
        </w:rPr>
        <w:t>名管理技术人员，涉及水土保持、水工</w:t>
      </w:r>
      <w:r>
        <w:rPr>
          <w:rFonts w:hint="eastAsia" w:cs="Times New Roman"/>
          <w:color w:val="auto"/>
          <w:szCs w:val="28"/>
          <w:lang w:eastAsia="zh-CN"/>
        </w:rPr>
        <w:t>、</w:t>
      </w:r>
      <w:r>
        <w:rPr>
          <w:rFonts w:cs="Times New Roman"/>
          <w:color w:val="auto"/>
          <w:szCs w:val="28"/>
        </w:rPr>
        <w:t>环境科学及地理科学等相关专业。按照监测工作计划，20</w:t>
      </w:r>
      <w:r>
        <w:rPr>
          <w:rFonts w:hint="eastAsia" w:cs="Times New Roman"/>
          <w:color w:val="auto"/>
          <w:szCs w:val="28"/>
        </w:rPr>
        <w:t>1</w:t>
      </w:r>
      <w:r>
        <w:rPr>
          <w:rFonts w:hint="eastAsia" w:cs="Times New Roman"/>
          <w:color w:val="auto"/>
          <w:szCs w:val="28"/>
          <w:lang w:val="en-US" w:eastAsia="zh-CN"/>
        </w:rPr>
        <w:t>6</w:t>
      </w:r>
      <w:r>
        <w:rPr>
          <w:rFonts w:cs="Times New Roman"/>
          <w:color w:val="auto"/>
          <w:szCs w:val="28"/>
        </w:rPr>
        <w:t>年</w:t>
      </w:r>
      <w:r>
        <w:rPr>
          <w:rFonts w:hint="eastAsia" w:cs="Times New Roman"/>
          <w:color w:val="auto"/>
          <w:szCs w:val="28"/>
          <w:lang w:val="en-US" w:eastAsia="zh-CN"/>
        </w:rPr>
        <w:t>1</w:t>
      </w:r>
      <w:r>
        <w:rPr>
          <w:rFonts w:cs="Times New Roman"/>
          <w:color w:val="auto"/>
          <w:szCs w:val="28"/>
        </w:rPr>
        <w:t>月，我单位组织相关监测技术人员对项目建设区进行了全面的现场踏勘，并收集了大量的相关资料。通过对收集的数据、资料的整理、分析、总结，并结合工程建设实际情况，依据相关水土保持监测技术规范，编制完成了《</w:t>
      </w:r>
      <w:r>
        <w:rPr>
          <w:rFonts w:hint="eastAsia" w:cs="Times New Roman"/>
          <w:color w:val="auto"/>
          <w:szCs w:val="28"/>
        </w:rPr>
        <w:t>G320线普安江西坡至三板桥段改扩建工程（县城段）</w:t>
      </w:r>
      <w:r>
        <w:rPr>
          <w:rFonts w:cs="Times New Roman"/>
          <w:color w:val="auto"/>
          <w:szCs w:val="28"/>
        </w:rPr>
        <w:t>水土保持监测实施方案》。本项目采用地面定位观测及调查监测相结合的监测技术体系，对项目建设区内的主体工程建设进度、工程建设扰动地表面积、水土流失灾害隐患、水土流失及造成的危害、水土保持工程建设情况、水土流失防治效果、水土保持工程设计及水土保持管理等开展监测。</w:t>
      </w:r>
      <w:r>
        <w:rPr>
          <w:color w:val="auto"/>
          <w:spacing w:val="-4"/>
        </w:rPr>
        <w:t>按照拟定的监测工作实施方案，分别于201</w:t>
      </w:r>
      <w:r>
        <w:rPr>
          <w:rFonts w:hint="eastAsia"/>
          <w:color w:val="auto"/>
          <w:spacing w:val="-4"/>
          <w:lang w:val="en-US" w:eastAsia="zh-CN"/>
        </w:rPr>
        <w:t>6</w:t>
      </w:r>
      <w:r>
        <w:rPr>
          <w:color w:val="auto"/>
          <w:spacing w:val="-4"/>
        </w:rPr>
        <w:t>年</w:t>
      </w:r>
      <w:r>
        <w:rPr>
          <w:rFonts w:hint="eastAsia"/>
          <w:color w:val="auto"/>
          <w:spacing w:val="-4"/>
          <w:lang w:val="en-US" w:eastAsia="zh-CN"/>
        </w:rPr>
        <w:t>3</w:t>
      </w:r>
      <w:r>
        <w:rPr>
          <w:color w:val="auto"/>
          <w:spacing w:val="-4"/>
        </w:rPr>
        <w:t>月、</w:t>
      </w:r>
      <w:r>
        <w:rPr>
          <w:rFonts w:hint="eastAsia"/>
          <w:color w:val="auto"/>
          <w:spacing w:val="-4"/>
          <w:lang w:val="en-US" w:eastAsia="zh-CN"/>
        </w:rPr>
        <w:t>6</w:t>
      </w:r>
      <w:r>
        <w:rPr>
          <w:color w:val="auto"/>
          <w:spacing w:val="-4"/>
        </w:rPr>
        <w:t>月、</w:t>
      </w:r>
      <w:r>
        <w:rPr>
          <w:rFonts w:hint="eastAsia"/>
          <w:color w:val="auto"/>
          <w:spacing w:val="-4"/>
          <w:lang w:val="en-US" w:eastAsia="zh-CN"/>
        </w:rPr>
        <w:t>9</w:t>
      </w:r>
      <w:r>
        <w:rPr>
          <w:color w:val="auto"/>
          <w:spacing w:val="-4"/>
        </w:rPr>
        <w:t>月</w:t>
      </w:r>
      <w:r>
        <w:rPr>
          <w:rFonts w:hint="eastAsia"/>
          <w:color w:val="auto"/>
          <w:spacing w:val="-4"/>
          <w:lang w:eastAsia="zh-CN"/>
        </w:rPr>
        <w:t>、</w:t>
      </w:r>
      <w:r>
        <w:rPr>
          <w:rFonts w:hint="eastAsia"/>
          <w:color w:val="auto"/>
          <w:spacing w:val="-4"/>
          <w:lang w:val="en-US" w:eastAsia="zh-CN"/>
        </w:rPr>
        <w:t>12月</w:t>
      </w:r>
      <w:r>
        <w:rPr>
          <w:color w:val="auto"/>
          <w:spacing w:val="-4"/>
        </w:rPr>
        <w:t>，201</w:t>
      </w:r>
      <w:r>
        <w:rPr>
          <w:rFonts w:hint="eastAsia"/>
          <w:color w:val="auto"/>
          <w:spacing w:val="-4"/>
          <w:lang w:val="en-US" w:eastAsia="zh-CN"/>
        </w:rPr>
        <w:t>7</w:t>
      </w:r>
      <w:r>
        <w:rPr>
          <w:color w:val="auto"/>
          <w:spacing w:val="-4"/>
        </w:rPr>
        <w:t>年</w:t>
      </w:r>
      <w:r>
        <w:rPr>
          <w:rFonts w:hint="eastAsia"/>
          <w:color w:val="auto"/>
          <w:spacing w:val="-4"/>
        </w:rPr>
        <w:t>3</w:t>
      </w:r>
      <w:r>
        <w:rPr>
          <w:color w:val="auto"/>
          <w:spacing w:val="-4"/>
        </w:rPr>
        <w:t>月、6月、9月、12月</w:t>
      </w:r>
      <w:r>
        <w:rPr>
          <w:rFonts w:hint="eastAsia"/>
          <w:color w:val="auto"/>
          <w:spacing w:val="-4"/>
          <w:lang w:eastAsia="zh-CN"/>
        </w:rPr>
        <w:t>，</w:t>
      </w:r>
      <w:r>
        <w:rPr>
          <w:color w:val="auto"/>
          <w:spacing w:val="-4"/>
        </w:rPr>
        <w:t>201</w:t>
      </w:r>
      <w:r>
        <w:rPr>
          <w:rFonts w:hint="eastAsia"/>
          <w:color w:val="auto"/>
          <w:spacing w:val="-4"/>
          <w:lang w:val="en-US" w:eastAsia="zh-CN"/>
        </w:rPr>
        <w:t>8</w:t>
      </w:r>
      <w:r>
        <w:rPr>
          <w:color w:val="auto"/>
          <w:spacing w:val="-4"/>
        </w:rPr>
        <w:t>年</w:t>
      </w:r>
      <w:r>
        <w:rPr>
          <w:rFonts w:hint="eastAsia"/>
          <w:color w:val="auto"/>
          <w:spacing w:val="-4"/>
        </w:rPr>
        <w:t>3</w:t>
      </w:r>
      <w:r>
        <w:rPr>
          <w:color w:val="auto"/>
          <w:spacing w:val="-4"/>
        </w:rPr>
        <w:t xml:space="preserve">月、6月、9月、12月共 </w:t>
      </w:r>
      <w:r>
        <w:rPr>
          <w:rFonts w:hint="eastAsia"/>
          <w:color w:val="auto"/>
          <w:spacing w:val="-4"/>
          <w:lang w:val="en-US" w:eastAsia="zh-CN"/>
        </w:rPr>
        <w:t>12</w:t>
      </w:r>
      <w:r>
        <w:rPr>
          <w:color w:val="auto"/>
          <w:spacing w:val="-4"/>
        </w:rPr>
        <w:t>余次对项目建设区开展了水土保持监测调查，先后按时逐季编制完成了201</w:t>
      </w:r>
      <w:r>
        <w:rPr>
          <w:rFonts w:hint="eastAsia"/>
          <w:color w:val="auto"/>
          <w:spacing w:val="-4"/>
          <w:lang w:val="en-US" w:eastAsia="zh-CN"/>
        </w:rPr>
        <w:t>6</w:t>
      </w:r>
      <w:r>
        <w:rPr>
          <w:color w:val="auto"/>
          <w:spacing w:val="-4"/>
        </w:rPr>
        <w:t>年第一、第二、第三、第四季度</w:t>
      </w:r>
      <w:r>
        <w:rPr>
          <w:rFonts w:hint="eastAsia"/>
          <w:color w:val="auto"/>
          <w:spacing w:val="-4"/>
        </w:rPr>
        <w:t>，</w:t>
      </w:r>
      <w:r>
        <w:rPr>
          <w:color w:val="auto"/>
          <w:spacing w:val="-4"/>
        </w:rPr>
        <w:t>20</w:t>
      </w:r>
      <w:r>
        <w:rPr>
          <w:rFonts w:hint="eastAsia"/>
          <w:color w:val="auto"/>
          <w:spacing w:val="-4"/>
          <w:lang w:val="en-US" w:eastAsia="zh-CN"/>
        </w:rPr>
        <w:t>17</w:t>
      </w:r>
      <w:r>
        <w:rPr>
          <w:color w:val="auto"/>
          <w:spacing w:val="-4"/>
        </w:rPr>
        <w:t>年第一、第二、第三季度</w:t>
      </w:r>
      <w:r>
        <w:rPr>
          <w:rFonts w:hint="eastAsia"/>
          <w:color w:val="auto"/>
          <w:spacing w:val="-4"/>
          <w:lang w:eastAsia="zh-CN"/>
        </w:rPr>
        <w:t>、第四季度，</w:t>
      </w:r>
      <w:r>
        <w:rPr>
          <w:rFonts w:hint="eastAsia"/>
          <w:color w:val="auto"/>
          <w:spacing w:val="-4"/>
        </w:rPr>
        <w:t>，</w:t>
      </w:r>
      <w:r>
        <w:rPr>
          <w:color w:val="auto"/>
          <w:spacing w:val="-4"/>
        </w:rPr>
        <w:t>20</w:t>
      </w:r>
      <w:r>
        <w:rPr>
          <w:rFonts w:hint="eastAsia"/>
          <w:color w:val="auto"/>
          <w:spacing w:val="-4"/>
          <w:lang w:val="en-US" w:eastAsia="zh-CN"/>
        </w:rPr>
        <w:t>18</w:t>
      </w:r>
      <w:r>
        <w:rPr>
          <w:color w:val="auto"/>
          <w:spacing w:val="-4"/>
        </w:rPr>
        <w:t>年第一、第二、第三季度</w:t>
      </w:r>
      <w:r>
        <w:rPr>
          <w:rFonts w:hint="eastAsia"/>
          <w:color w:val="auto"/>
          <w:spacing w:val="-4"/>
          <w:lang w:eastAsia="zh-CN"/>
        </w:rPr>
        <w:t>、第四季度</w:t>
      </w:r>
      <w:r>
        <w:rPr>
          <w:color w:val="auto"/>
          <w:spacing w:val="-4"/>
        </w:rPr>
        <w:t>水土保持监测季度报告表及水土保持监测工作开展情况总结等监测成果资料</w:t>
      </w:r>
      <w:r>
        <w:rPr>
          <w:rFonts w:hint="eastAsia"/>
          <w:color w:val="auto"/>
          <w:spacing w:val="-4"/>
          <w:lang w:val="en-US" w:eastAsia="zh-CN"/>
        </w:rPr>
        <w:t>12</w:t>
      </w:r>
      <w:r>
        <w:rPr>
          <w:color w:val="auto"/>
          <w:spacing w:val="-4"/>
        </w:rPr>
        <w:t>套。自开展水土保持监测工作以来，项目监测技术人员共对项目建设区共进行了</w:t>
      </w:r>
      <w:r>
        <w:rPr>
          <w:rFonts w:hint="eastAsia"/>
          <w:color w:val="auto"/>
          <w:spacing w:val="-4"/>
          <w:lang w:val="en-US" w:eastAsia="zh-CN"/>
        </w:rPr>
        <w:t>12</w:t>
      </w:r>
      <w:r>
        <w:rPr>
          <w:color w:val="auto"/>
          <w:spacing w:val="-4"/>
        </w:rPr>
        <w:t>余次全面的现场踏勘，期间在项目建设区内布置了调查观测样点</w:t>
      </w:r>
      <w:r>
        <w:rPr>
          <w:rFonts w:hint="eastAsia"/>
          <w:color w:val="auto"/>
          <w:spacing w:val="-4"/>
          <w:lang w:val="en-US" w:eastAsia="zh-CN"/>
        </w:rPr>
        <w:t>2</w:t>
      </w:r>
      <w:r>
        <w:rPr>
          <w:color w:val="auto"/>
          <w:spacing w:val="-4"/>
        </w:rPr>
        <w:t>余处，先后按时编制完成的水土保持监测成果资料</w:t>
      </w:r>
      <w:r>
        <w:rPr>
          <w:color w:val="auto"/>
          <w:spacing w:val="-26"/>
        </w:rPr>
        <w:t>共计</w:t>
      </w:r>
      <w:r>
        <w:rPr>
          <w:rFonts w:hint="eastAsia"/>
          <w:color w:val="auto"/>
          <w:spacing w:val="-26"/>
          <w:lang w:val="en-US" w:eastAsia="zh-CN"/>
        </w:rPr>
        <w:t>12</w:t>
      </w:r>
      <w:r>
        <w:rPr>
          <w:color w:val="auto"/>
          <w:spacing w:val="5"/>
        </w:rPr>
        <w:t>套。</w:t>
      </w:r>
      <w:r>
        <w:rPr>
          <w:rFonts w:eastAsia="Times New Roman"/>
          <w:color w:val="auto"/>
        </w:rPr>
        <w:t>20</w:t>
      </w:r>
      <w:r>
        <w:rPr>
          <w:rFonts w:hint="eastAsia" w:eastAsia="宋体"/>
          <w:color w:val="auto"/>
        </w:rPr>
        <w:t>20</w:t>
      </w:r>
      <w:r>
        <w:rPr>
          <w:color w:val="auto"/>
          <w:spacing w:val="-40"/>
        </w:rPr>
        <w:t xml:space="preserve">年 </w:t>
      </w:r>
      <w:r>
        <w:rPr>
          <w:rFonts w:hint="eastAsia"/>
          <w:color w:val="auto"/>
          <w:spacing w:val="-40"/>
        </w:rPr>
        <w:t xml:space="preserve"> </w:t>
      </w:r>
      <w:r>
        <w:rPr>
          <w:rFonts w:hint="eastAsia" w:eastAsia="宋体"/>
          <w:color w:val="auto"/>
        </w:rPr>
        <w:t>10</w:t>
      </w:r>
      <w:r>
        <w:rPr>
          <w:color w:val="auto"/>
        </w:rPr>
        <w:t>月为配合水土保持验收技术评估工作，我单位监测人员又对全线进行了全面的现场调查，并汇总监测资料，编制完成了《</w:t>
      </w:r>
      <w:r>
        <w:rPr>
          <w:rFonts w:hint="eastAsia"/>
          <w:color w:val="auto"/>
        </w:rPr>
        <w:t>G320线普安江西坡至三板桥段改扩建工程（县城段）</w:t>
      </w:r>
      <w:r>
        <w:rPr>
          <w:color w:val="auto"/>
        </w:rPr>
        <w:t>水土保持监测总结报告》</w:t>
      </w:r>
      <w:r>
        <w:rPr>
          <w:rFonts w:hint="eastAsia"/>
          <w:color w:val="auto"/>
        </w:rPr>
        <w:t>。</w:t>
      </w:r>
    </w:p>
    <w:p>
      <w:pPr>
        <w:pStyle w:val="4"/>
        <w:rPr>
          <w:rFonts w:hint="eastAsia"/>
          <w:color w:val="auto"/>
          <w:lang w:val="en-US" w:eastAsia="zh-CN"/>
        </w:rPr>
      </w:pPr>
      <w:r>
        <w:rPr>
          <w:rFonts w:hint="eastAsia"/>
          <w:color w:val="auto"/>
          <w:lang w:val="en-US" w:eastAsia="zh-CN"/>
        </w:rPr>
        <w:t>2.3.1调查监测</w:t>
      </w:r>
    </w:p>
    <w:p>
      <w:pPr>
        <w:rPr>
          <w:color w:val="auto"/>
          <w:w w:val="95"/>
        </w:rPr>
      </w:pPr>
      <w:r>
        <w:rPr>
          <w:color w:val="auto"/>
        </w:rPr>
        <w:t xml:space="preserve">本项目自开展水土保持监测工作以来，已组织监测小组技术人员共 </w:t>
      </w:r>
      <w:r>
        <w:rPr>
          <w:rFonts w:hint="eastAsia"/>
          <w:color w:val="auto"/>
          <w:lang w:val="en-US" w:eastAsia="zh-CN"/>
        </w:rPr>
        <w:t>12</w:t>
      </w:r>
      <w:r>
        <w:rPr>
          <w:color w:val="auto"/>
        </w:rPr>
        <w:t>余次对项目建设区开展了水土保持监测调查。水土保持监测调查过程中采用收集资料、询问、典型调查、普查、抽样调查等调查方法，对本项目主体工程建设进度以及项目建设区内的扰动地表面积、水土流失灾害隐患、水土流失及造成的危害、水土保持工程建设情况、水土流失防治效果、水土保持工程设计及水土保持管理等开展详细调查及监测。201</w:t>
      </w:r>
      <w:r>
        <w:rPr>
          <w:rFonts w:hint="eastAsia"/>
          <w:color w:val="auto"/>
          <w:lang w:val="en-US" w:eastAsia="zh-CN"/>
        </w:rPr>
        <w:t>6</w:t>
      </w:r>
      <w:r>
        <w:rPr>
          <w:color w:val="auto"/>
        </w:rPr>
        <w:t>年</w:t>
      </w:r>
      <w:r>
        <w:rPr>
          <w:rFonts w:hint="eastAsia"/>
          <w:color w:val="auto"/>
          <w:lang w:val="en-US" w:eastAsia="zh-CN"/>
        </w:rPr>
        <w:t>1月</w:t>
      </w:r>
      <w:r>
        <w:rPr>
          <w:color w:val="auto"/>
        </w:rPr>
        <w:t>至20</w:t>
      </w:r>
      <w:r>
        <w:rPr>
          <w:rFonts w:hint="eastAsia"/>
          <w:color w:val="auto"/>
          <w:lang w:val="en-US" w:eastAsia="zh-CN"/>
        </w:rPr>
        <w:t>18</w:t>
      </w:r>
      <w:r>
        <w:rPr>
          <w:color w:val="auto"/>
        </w:rPr>
        <w:t>年第</w:t>
      </w:r>
      <w:r>
        <w:rPr>
          <w:rFonts w:hint="eastAsia"/>
          <w:color w:val="auto"/>
          <w:lang w:val="en-US" w:eastAsia="zh-CN"/>
        </w:rPr>
        <w:t>四</w:t>
      </w:r>
      <w:r>
        <w:rPr>
          <w:color w:val="auto"/>
        </w:rPr>
        <w:t>季度，监测技术人员在项目建设区共布设了</w:t>
      </w:r>
      <w:r>
        <w:rPr>
          <w:rFonts w:hint="eastAsia"/>
          <w:color w:val="auto"/>
          <w:lang w:val="en-US" w:eastAsia="zh-CN"/>
        </w:rPr>
        <w:t>2</w:t>
      </w:r>
      <w:r>
        <w:rPr>
          <w:color w:val="auto"/>
        </w:rPr>
        <w:t>个调查样点。</w:t>
      </w:r>
    </w:p>
    <w:p>
      <w:pPr>
        <w:pStyle w:val="2"/>
        <w:rPr>
          <w:rFonts w:hint="default"/>
          <w:color w:val="auto"/>
        </w:rPr>
        <w:sectPr>
          <w:headerReference r:id="rId9" w:type="default"/>
          <w:pgSz w:w="11906" w:h="16838"/>
          <w:pgMar w:top="1304" w:right="1418" w:bottom="1247" w:left="1701" w:header="851" w:footer="992" w:gutter="0"/>
          <w:pgBorders>
            <w:top w:val="none" w:sz="0" w:space="0"/>
            <w:left w:val="none" w:sz="0" w:space="0"/>
            <w:bottom w:val="none" w:sz="0" w:space="0"/>
            <w:right w:val="none" w:sz="0" w:space="0"/>
          </w:pgBorders>
          <w:pgNumType w:fmt="decimal"/>
          <w:cols w:space="720" w:num="1"/>
          <w:docGrid w:linePitch="326" w:charSpace="0"/>
        </w:sectPr>
      </w:pPr>
    </w:p>
    <w:p>
      <w:pPr>
        <w:pStyle w:val="2"/>
        <w:rPr>
          <w:rFonts w:hint="default"/>
          <w:color w:val="auto"/>
        </w:rPr>
      </w:pPr>
      <w:bookmarkStart w:id="103" w:name="_Toc19011"/>
      <w:r>
        <w:rPr>
          <w:rFonts w:hint="default"/>
          <w:color w:val="auto"/>
        </w:rPr>
        <w:t>3 重点部位水土流失动态监测结果</w:t>
      </w:r>
      <w:bookmarkEnd w:id="103"/>
    </w:p>
    <w:p>
      <w:pPr>
        <w:pStyle w:val="3"/>
        <w:rPr>
          <w:rFonts w:hint="default"/>
          <w:color w:val="auto"/>
        </w:rPr>
      </w:pPr>
      <w:bookmarkStart w:id="104" w:name="_Toc24528"/>
      <w:bookmarkStart w:id="105" w:name="_Toc400530774"/>
      <w:bookmarkStart w:id="106" w:name="_Toc371174605"/>
      <w:bookmarkStart w:id="107" w:name="_Toc400529673"/>
      <w:r>
        <w:rPr>
          <w:rFonts w:hint="default"/>
          <w:color w:val="auto"/>
        </w:rPr>
        <w:t>3.1防治责任范围监测结果</w:t>
      </w:r>
      <w:bookmarkEnd w:id="104"/>
      <w:bookmarkEnd w:id="105"/>
      <w:bookmarkEnd w:id="106"/>
      <w:bookmarkEnd w:id="107"/>
    </w:p>
    <w:p>
      <w:pPr>
        <w:pStyle w:val="4"/>
        <w:rPr>
          <w:rFonts w:hint="eastAsia" w:ascii="Times New Roman" w:hAnsi="Times New Roman" w:eastAsia="仿宋_GB2312"/>
          <w:color w:val="auto"/>
          <w:szCs w:val="24"/>
          <w:lang w:eastAsia="zh-CN"/>
        </w:rPr>
      </w:pPr>
      <w:bookmarkStart w:id="108" w:name="_Toc371174606"/>
      <w:bookmarkStart w:id="109" w:name="_Toc400529674"/>
      <w:bookmarkStart w:id="110" w:name="_Toc400530775"/>
      <w:r>
        <w:rPr>
          <w:rFonts w:hint="default"/>
          <w:color w:val="auto"/>
        </w:rPr>
        <w:t>3.1.1</w:t>
      </w:r>
      <w:bookmarkEnd w:id="108"/>
      <w:bookmarkEnd w:id="109"/>
      <w:bookmarkEnd w:id="110"/>
      <w:r>
        <w:rPr>
          <w:rFonts w:hint="eastAsia"/>
          <w:color w:val="auto"/>
          <w:lang w:eastAsia="zh-CN"/>
        </w:rPr>
        <w:t>原水土保持方案设计防治责任范围</w:t>
      </w:r>
    </w:p>
    <w:p>
      <w:pPr>
        <w:rPr>
          <w:rFonts w:hint="default" w:ascii="Times New Roman" w:hAnsi="Times New Roman" w:eastAsia="仿宋_GB2312"/>
          <w:color w:val="auto"/>
          <w:sz w:val="24"/>
          <w:szCs w:val="24"/>
          <w:lang w:val="zh-CN"/>
        </w:rPr>
      </w:pPr>
      <w:r>
        <w:rPr>
          <w:color w:val="auto"/>
        </w:rPr>
        <w:t>根据</w:t>
      </w:r>
      <w:r>
        <w:rPr>
          <w:rFonts w:hint="eastAsia"/>
          <w:color w:val="auto"/>
        </w:rPr>
        <w:t>黔西南布衣族苗族自治州水务局</w:t>
      </w:r>
      <w:r>
        <w:rPr>
          <w:color w:val="auto"/>
        </w:rPr>
        <w:t>下发的《关于</w:t>
      </w:r>
      <w:r>
        <w:rPr>
          <w:rFonts w:hint="eastAsia"/>
          <w:color w:val="auto"/>
        </w:rPr>
        <w:t>G320线普安江西坡至三板桥段改扩建工程（县城段）</w:t>
      </w:r>
      <w:r>
        <w:rPr>
          <w:color w:val="auto"/>
        </w:rPr>
        <w:t>水土保持方案的复函》（州水务函</w:t>
      </w:r>
      <w:r>
        <w:rPr>
          <w:rFonts w:hint="eastAsia" w:ascii="仿宋_GB2312" w:hAnsi="仿宋_GB2312"/>
          <w:color w:val="auto"/>
        </w:rPr>
        <w:t>〔</w:t>
      </w:r>
      <w:r>
        <w:rPr>
          <w:color w:val="auto"/>
        </w:rPr>
        <w:t>20</w:t>
      </w:r>
      <w:r>
        <w:rPr>
          <w:rFonts w:hint="eastAsia"/>
          <w:color w:val="auto"/>
        </w:rPr>
        <w:t>1</w:t>
      </w:r>
      <w:r>
        <w:rPr>
          <w:color w:val="auto"/>
        </w:rPr>
        <w:t>3</w:t>
      </w:r>
      <w:r>
        <w:rPr>
          <w:rFonts w:hint="eastAsia" w:ascii="仿宋_GB2312" w:hAnsi="仿宋_GB2312"/>
          <w:color w:val="auto"/>
        </w:rPr>
        <w:t>〕</w:t>
      </w:r>
      <w:r>
        <w:rPr>
          <w:color w:val="auto"/>
        </w:rPr>
        <w:t>4号）</w:t>
      </w:r>
      <w:r>
        <w:rPr>
          <w:color w:val="auto"/>
          <w:lang w:val="zh-CN"/>
        </w:rPr>
        <w:t>，本项目</w:t>
      </w:r>
      <w:r>
        <w:rPr>
          <w:color w:val="auto"/>
        </w:rPr>
        <w:t>水土流失防治责任范围总面积13.75h</w:t>
      </w:r>
      <w:r>
        <w:rPr>
          <w:rFonts w:hint="eastAsia"/>
          <w:color w:val="auto"/>
        </w:rPr>
        <w:t>m</w:t>
      </w:r>
      <w:r>
        <w:rPr>
          <w:rFonts w:hint="eastAsia"/>
          <w:color w:val="auto"/>
          <w:vertAlign w:val="superscript"/>
        </w:rPr>
        <w:t>2</w:t>
      </w:r>
      <w:r>
        <w:rPr>
          <w:color w:val="auto"/>
        </w:rPr>
        <w:t>，其中：项目建设区面积</w:t>
      </w:r>
      <w:r>
        <w:rPr>
          <w:rFonts w:hint="eastAsia"/>
          <w:color w:val="auto"/>
        </w:rPr>
        <w:t>9.11</w:t>
      </w:r>
      <w:r>
        <w:rPr>
          <w:color w:val="auto"/>
        </w:rPr>
        <w:t>h</w:t>
      </w:r>
      <w:r>
        <w:rPr>
          <w:rFonts w:hint="eastAsia"/>
          <w:color w:val="auto"/>
        </w:rPr>
        <w:t>m</w:t>
      </w:r>
      <w:r>
        <w:rPr>
          <w:rFonts w:hint="eastAsia"/>
          <w:color w:val="auto"/>
          <w:vertAlign w:val="superscript"/>
        </w:rPr>
        <w:t>2</w:t>
      </w:r>
      <w:r>
        <w:rPr>
          <w:color w:val="auto"/>
        </w:rPr>
        <w:t>，直接影响区面积4.64h</w:t>
      </w:r>
      <w:r>
        <w:rPr>
          <w:rFonts w:hint="eastAsia"/>
          <w:color w:val="auto"/>
        </w:rPr>
        <w:t>m</w:t>
      </w:r>
      <w:r>
        <w:rPr>
          <w:rFonts w:hint="eastAsia"/>
          <w:color w:val="auto"/>
          <w:vertAlign w:val="superscript"/>
        </w:rPr>
        <w:t>2</w:t>
      </w:r>
      <w:r>
        <w:rPr>
          <w:color w:val="auto"/>
        </w:rPr>
        <w:t>。</w:t>
      </w:r>
      <w:r>
        <w:rPr>
          <w:rFonts w:hint="eastAsia"/>
          <w:color w:val="auto"/>
          <w:sz w:val="24"/>
          <w:szCs w:val="24"/>
          <w:lang w:eastAsia="zh-CN"/>
        </w:rPr>
        <w:t>原水土保持方案设计</w:t>
      </w:r>
      <w:r>
        <w:rPr>
          <w:rFonts w:ascii="Times New Roman" w:hAnsi="Times New Roman" w:eastAsia="仿宋_GB2312"/>
          <w:color w:val="auto"/>
          <w:sz w:val="24"/>
          <w:szCs w:val="24"/>
        </w:rPr>
        <w:t>水土流失防治责任范围见表3-1。</w:t>
      </w:r>
    </w:p>
    <w:p>
      <w:pPr>
        <w:pStyle w:val="17"/>
        <w:rPr>
          <w:rFonts w:hint="default"/>
          <w:color w:val="auto"/>
          <w:lang w:val="zh-CN"/>
        </w:rPr>
      </w:pPr>
      <w:r>
        <w:rPr>
          <w:rFonts w:hint="default"/>
          <w:color w:val="auto"/>
          <w:lang w:val="zh-CN"/>
        </w:rPr>
        <w:t>表</w:t>
      </w:r>
      <w:r>
        <w:rPr>
          <w:rFonts w:hint="default"/>
          <w:color w:val="auto"/>
        </w:rPr>
        <w:t>3</w:t>
      </w:r>
      <w:r>
        <w:rPr>
          <w:rFonts w:hint="default"/>
          <w:color w:val="auto"/>
          <w:lang w:val="zh-CN"/>
        </w:rPr>
        <w:t xml:space="preserve">-1      </w:t>
      </w:r>
      <w:r>
        <w:rPr>
          <w:rFonts w:hint="default"/>
          <w:color w:val="auto"/>
          <w:lang w:val="zh-CN" w:eastAsia="zh-CN"/>
        </w:rPr>
        <w:t>原</w:t>
      </w:r>
      <w:r>
        <w:rPr>
          <w:rFonts w:hint="default"/>
          <w:color w:val="auto"/>
          <w:lang w:val="zh-CN"/>
        </w:rPr>
        <w:t>水土流失防治责任范围表   单位：h</w:t>
      </w:r>
      <w:r>
        <w:rPr>
          <w:rFonts w:hint="eastAsia"/>
          <w:color w:val="auto"/>
          <w:lang w:val="zh-CN"/>
        </w:rPr>
        <w:t>m</w:t>
      </w:r>
      <w:r>
        <w:rPr>
          <w:rFonts w:hint="eastAsia"/>
          <w:color w:val="auto"/>
          <w:vertAlign w:val="superscript"/>
          <w:lang w:val="en-US" w:eastAsia="zh-CN"/>
        </w:rPr>
        <w:t>2</w:t>
      </w:r>
    </w:p>
    <w:tbl>
      <w:tblPr>
        <w:tblStyle w:val="11"/>
        <w:tblW w:w="5000" w:type="pct"/>
        <w:tblInd w:w="0" w:type="dxa"/>
        <w:tblLayout w:type="autofit"/>
        <w:tblCellMar>
          <w:top w:w="0" w:type="dxa"/>
          <w:left w:w="108" w:type="dxa"/>
          <w:bottom w:w="0" w:type="dxa"/>
          <w:right w:w="108" w:type="dxa"/>
        </w:tblCellMar>
      </w:tblPr>
      <w:tblGrid>
        <w:gridCol w:w="1549"/>
        <w:gridCol w:w="932"/>
        <w:gridCol w:w="1549"/>
        <w:gridCol w:w="1549"/>
        <w:gridCol w:w="1856"/>
        <w:gridCol w:w="1087"/>
      </w:tblGrid>
      <w:tr>
        <w:tblPrEx>
          <w:tblCellMar>
            <w:top w:w="0" w:type="dxa"/>
            <w:left w:w="108" w:type="dxa"/>
            <w:bottom w:w="0" w:type="dxa"/>
            <w:right w:w="108" w:type="dxa"/>
          </w:tblCellMar>
        </w:tblPrEx>
        <w:trPr>
          <w:trHeight w:val="397" w:hRule="atLeast"/>
        </w:trPr>
        <w:tc>
          <w:tcPr>
            <w:tcW w:w="909" w:type="pct"/>
            <w:vMerge w:val="restart"/>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项目组成</w:t>
            </w:r>
          </w:p>
        </w:tc>
        <w:tc>
          <w:tcPr>
            <w:tcW w:w="4091" w:type="pct"/>
            <w:gridSpan w:val="5"/>
            <w:tcBorders>
              <w:top w:val="single" w:color="auto" w:sz="4" w:space="0"/>
              <w:left w:val="nil"/>
              <w:bottom w:val="single" w:color="auto" w:sz="4" w:space="0"/>
              <w:right w:val="single" w:color="auto" w:sz="4" w:space="0"/>
            </w:tcBorders>
            <w:noWrap w:val="0"/>
            <w:vAlign w:val="center"/>
          </w:tcPr>
          <w:p>
            <w:pPr>
              <w:pStyle w:val="16"/>
              <w:rPr>
                <w:color w:val="auto"/>
              </w:rPr>
            </w:pPr>
            <w:r>
              <w:rPr>
                <w:color w:val="auto"/>
              </w:rPr>
              <w:t>防治责任范围（hm</w:t>
            </w:r>
            <w:r>
              <w:rPr>
                <w:color w:val="auto"/>
                <w:vertAlign w:val="superscript"/>
              </w:rPr>
              <w:t>2</w:t>
            </w:r>
            <w:r>
              <w:rPr>
                <w:color w:val="auto"/>
              </w:rPr>
              <w:t>）</w:t>
            </w:r>
          </w:p>
        </w:tc>
      </w:tr>
      <w:tr>
        <w:tblPrEx>
          <w:tblCellMar>
            <w:top w:w="0" w:type="dxa"/>
            <w:left w:w="108" w:type="dxa"/>
            <w:bottom w:w="0" w:type="dxa"/>
            <w:right w:w="108" w:type="dxa"/>
          </w:tblCellMar>
        </w:tblPrEx>
        <w:trPr>
          <w:trHeight w:val="397" w:hRule="atLeast"/>
        </w:trPr>
        <w:tc>
          <w:tcPr>
            <w:tcW w:w="909" w:type="pct"/>
            <w:vMerge w:val="continue"/>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p>
        </w:tc>
        <w:tc>
          <w:tcPr>
            <w:tcW w:w="2365" w:type="pct"/>
            <w:gridSpan w:val="3"/>
            <w:tcBorders>
              <w:top w:val="single" w:color="auto" w:sz="4" w:space="0"/>
              <w:left w:val="nil"/>
              <w:bottom w:val="single" w:color="auto" w:sz="4" w:space="0"/>
              <w:right w:val="single" w:color="auto" w:sz="4" w:space="0"/>
            </w:tcBorders>
            <w:noWrap w:val="0"/>
            <w:vAlign w:val="center"/>
          </w:tcPr>
          <w:p>
            <w:pPr>
              <w:pStyle w:val="16"/>
              <w:rPr>
                <w:color w:val="auto"/>
              </w:rPr>
            </w:pPr>
            <w:r>
              <w:rPr>
                <w:color w:val="auto"/>
              </w:rPr>
              <w:t>建设区</w:t>
            </w:r>
          </w:p>
        </w:tc>
        <w:tc>
          <w:tcPr>
            <w:tcW w:w="1089" w:type="pct"/>
            <w:vMerge w:val="restart"/>
            <w:tcBorders>
              <w:top w:val="nil"/>
              <w:left w:val="single" w:color="auto" w:sz="4" w:space="0"/>
              <w:bottom w:val="single" w:color="auto" w:sz="4" w:space="0"/>
              <w:right w:val="single" w:color="auto" w:sz="4" w:space="0"/>
            </w:tcBorders>
            <w:noWrap w:val="0"/>
            <w:vAlign w:val="center"/>
          </w:tcPr>
          <w:p>
            <w:pPr>
              <w:pStyle w:val="16"/>
              <w:rPr>
                <w:color w:val="auto"/>
              </w:rPr>
            </w:pPr>
            <w:r>
              <w:rPr>
                <w:color w:val="auto"/>
              </w:rPr>
              <w:t>直接影响区</w:t>
            </w:r>
          </w:p>
        </w:tc>
        <w:tc>
          <w:tcPr>
            <w:tcW w:w="637" w:type="pct"/>
            <w:vMerge w:val="restart"/>
            <w:tcBorders>
              <w:top w:val="nil"/>
              <w:left w:val="single" w:color="auto" w:sz="4" w:space="0"/>
              <w:bottom w:val="single" w:color="auto" w:sz="4" w:space="0"/>
              <w:right w:val="single" w:color="auto" w:sz="4" w:space="0"/>
            </w:tcBorders>
            <w:noWrap w:val="0"/>
            <w:vAlign w:val="center"/>
          </w:tcPr>
          <w:p>
            <w:pPr>
              <w:pStyle w:val="16"/>
              <w:rPr>
                <w:color w:val="auto"/>
              </w:rPr>
            </w:pPr>
            <w:r>
              <w:rPr>
                <w:color w:val="auto"/>
              </w:rPr>
              <w:t>合 计</w:t>
            </w:r>
          </w:p>
        </w:tc>
      </w:tr>
      <w:tr>
        <w:trPr>
          <w:trHeight w:val="397" w:hRule="atLeast"/>
        </w:trPr>
        <w:tc>
          <w:tcPr>
            <w:tcW w:w="909" w:type="pct"/>
            <w:vMerge w:val="continue"/>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p>
        </w:tc>
        <w:tc>
          <w:tcPr>
            <w:tcW w:w="547" w:type="pct"/>
            <w:tcBorders>
              <w:top w:val="nil"/>
              <w:left w:val="nil"/>
              <w:bottom w:val="single" w:color="auto" w:sz="4" w:space="0"/>
              <w:right w:val="single" w:color="auto" w:sz="4" w:space="0"/>
            </w:tcBorders>
            <w:noWrap w:val="0"/>
            <w:vAlign w:val="center"/>
          </w:tcPr>
          <w:p>
            <w:pPr>
              <w:pStyle w:val="16"/>
              <w:rPr>
                <w:color w:val="auto"/>
              </w:rPr>
            </w:pPr>
            <w:r>
              <w:rPr>
                <w:color w:val="auto"/>
              </w:rPr>
              <w:t>小计</w:t>
            </w:r>
          </w:p>
        </w:tc>
        <w:tc>
          <w:tcPr>
            <w:tcW w:w="909" w:type="pct"/>
            <w:tcBorders>
              <w:top w:val="nil"/>
              <w:left w:val="nil"/>
              <w:bottom w:val="single" w:color="auto" w:sz="4" w:space="0"/>
              <w:right w:val="single" w:color="auto" w:sz="4" w:space="0"/>
            </w:tcBorders>
            <w:noWrap w:val="0"/>
            <w:vAlign w:val="center"/>
          </w:tcPr>
          <w:p>
            <w:pPr>
              <w:pStyle w:val="16"/>
              <w:rPr>
                <w:color w:val="auto"/>
              </w:rPr>
            </w:pPr>
            <w:r>
              <w:rPr>
                <w:color w:val="auto"/>
              </w:rPr>
              <w:t>永久占地</w:t>
            </w:r>
          </w:p>
        </w:tc>
        <w:tc>
          <w:tcPr>
            <w:tcW w:w="909" w:type="pct"/>
            <w:tcBorders>
              <w:top w:val="nil"/>
              <w:left w:val="nil"/>
              <w:bottom w:val="single" w:color="auto" w:sz="4" w:space="0"/>
              <w:right w:val="single" w:color="auto" w:sz="4" w:space="0"/>
            </w:tcBorders>
            <w:noWrap w:val="0"/>
            <w:vAlign w:val="center"/>
          </w:tcPr>
          <w:p>
            <w:pPr>
              <w:pStyle w:val="16"/>
              <w:rPr>
                <w:color w:val="auto"/>
              </w:rPr>
            </w:pPr>
            <w:r>
              <w:rPr>
                <w:color w:val="auto"/>
              </w:rPr>
              <w:t>临时占地</w:t>
            </w:r>
          </w:p>
        </w:tc>
        <w:tc>
          <w:tcPr>
            <w:tcW w:w="1089" w:type="pct"/>
            <w:vMerge w:val="continue"/>
            <w:tcBorders>
              <w:top w:val="nil"/>
              <w:left w:val="single" w:color="auto" w:sz="4" w:space="0"/>
              <w:bottom w:val="single" w:color="auto" w:sz="4" w:space="0"/>
              <w:right w:val="single" w:color="auto" w:sz="4" w:space="0"/>
            </w:tcBorders>
            <w:noWrap w:val="0"/>
            <w:vAlign w:val="center"/>
          </w:tcPr>
          <w:p>
            <w:pPr>
              <w:pStyle w:val="16"/>
              <w:rPr>
                <w:color w:val="auto"/>
              </w:rPr>
            </w:pPr>
          </w:p>
        </w:tc>
        <w:tc>
          <w:tcPr>
            <w:tcW w:w="637" w:type="pct"/>
            <w:vMerge w:val="continue"/>
            <w:tcBorders>
              <w:top w:val="nil"/>
              <w:left w:val="single" w:color="auto" w:sz="4" w:space="0"/>
              <w:bottom w:val="single" w:color="auto" w:sz="4" w:space="0"/>
              <w:right w:val="single" w:color="auto" w:sz="4" w:space="0"/>
            </w:tcBorders>
            <w:noWrap w:val="0"/>
            <w:vAlign w:val="center"/>
          </w:tcPr>
          <w:p>
            <w:pPr>
              <w:pStyle w:val="16"/>
              <w:rPr>
                <w:color w:val="auto"/>
              </w:rPr>
            </w:pPr>
          </w:p>
        </w:tc>
      </w:tr>
      <w:tr>
        <w:tblPrEx>
          <w:tblCellMar>
            <w:top w:w="0" w:type="dxa"/>
            <w:left w:w="108" w:type="dxa"/>
            <w:bottom w:w="0" w:type="dxa"/>
            <w:right w:w="108" w:type="dxa"/>
          </w:tblCellMar>
        </w:tblPrEx>
        <w:trPr>
          <w:trHeight w:val="397" w:hRule="atLeast"/>
        </w:trPr>
        <w:tc>
          <w:tcPr>
            <w:tcW w:w="909" w:type="pct"/>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路基区</w:t>
            </w:r>
          </w:p>
        </w:tc>
        <w:tc>
          <w:tcPr>
            <w:tcW w:w="547" w:type="pct"/>
            <w:tcBorders>
              <w:top w:val="nil"/>
              <w:left w:val="nil"/>
              <w:bottom w:val="single" w:color="auto" w:sz="4" w:space="0"/>
              <w:right w:val="single" w:color="auto" w:sz="4" w:space="0"/>
            </w:tcBorders>
            <w:noWrap w:val="0"/>
            <w:vAlign w:val="center"/>
          </w:tcPr>
          <w:p>
            <w:pPr>
              <w:pStyle w:val="16"/>
              <w:rPr>
                <w:color w:val="auto"/>
              </w:rPr>
            </w:pPr>
            <w:r>
              <w:rPr>
                <w:color w:val="auto"/>
              </w:rPr>
              <w:t>6.97</w:t>
            </w:r>
          </w:p>
        </w:tc>
        <w:tc>
          <w:tcPr>
            <w:tcW w:w="909" w:type="pct"/>
            <w:tcBorders>
              <w:top w:val="nil"/>
              <w:left w:val="nil"/>
              <w:bottom w:val="single" w:color="auto" w:sz="4" w:space="0"/>
              <w:right w:val="single" w:color="auto" w:sz="4" w:space="0"/>
            </w:tcBorders>
            <w:noWrap w:val="0"/>
            <w:vAlign w:val="center"/>
          </w:tcPr>
          <w:p>
            <w:pPr>
              <w:pStyle w:val="16"/>
              <w:rPr>
                <w:color w:val="auto"/>
              </w:rPr>
            </w:pPr>
            <w:r>
              <w:rPr>
                <w:color w:val="auto"/>
              </w:rPr>
              <w:t>6.97</w:t>
            </w:r>
          </w:p>
        </w:tc>
        <w:tc>
          <w:tcPr>
            <w:tcW w:w="909" w:type="pct"/>
            <w:tcBorders>
              <w:top w:val="nil"/>
              <w:left w:val="nil"/>
              <w:bottom w:val="single" w:color="auto" w:sz="4" w:space="0"/>
              <w:right w:val="single" w:color="auto" w:sz="4" w:space="0"/>
            </w:tcBorders>
            <w:noWrap w:val="0"/>
            <w:vAlign w:val="center"/>
          </w:tcPr>
          <w:p>
            <w:pPr>
              <w:pStyle w:val="16"/>
              <w:rPr>
                <w:color w:val="auto"/>
              </w:rPr>
            </w:pPr>
            <w:r>
              <w:rPr>
                <w:color w:val="auto"/>
              </w:rPr>
              <w:t>　</w:t>
            </w:r>
          </w:p>
        </w:tc>
        <w:tc>
          <w:tcPr>
            <w:tcW w:w="1089" w:type="pct"/>
            <w:tcBorders>
              <w:top w:val="nil"/>
              <w:left w:val="nil"/>
              <w:bottom w:val="single" w:color="auto" w:sz="4" w:space="0"/>
              <w:right w:val="single" w:color="auto" w:sz="4" w:space="0"/>
            </w:tcBorders>
            <w:noWrap w:val="0"/>
            <w:vAlign w:val="center"/>
          </w:tcPr>
          <w:p>
            <w:pPr>
              <w:pStyle w:val="16"/>
              <w:rPr>
                <w:color w:val="auto"/>
              </w:rPr>
            </w:pPr>
            <w:r>
              <w:rPr>
                <w:color w:val="auto"/>
              </w:rPr>
              <w:t>4.24</w:t>
            </w:r>
          </w:p>
        </w:tc>
        <w:tc>
          <w:tcPr>
            <w:tcW w:w="637" w:type="pct"/>
            <w:tcBorders>
              <w:top w:val="nil"/>
              <w:left w:val="nil"/>
              <w:bottom w:val="single" w:color="auto" w:sz="4" w:space="0"/>
              <w:right w:val="single" w:color="auto" w:sz="4" w:space="0"/>
            </w:tcBorders>
            <w:noWrap w:val="0"/>
            <w:vAlign w:val="center"/>
          </w:tcPr>
          <w:p>
            <w:pPr>
              <w:pStyle w:val="16"/>
              <w:rPr>
                <w:color w:val="auto"/>
              </w:rPr>
            </w:pPr>
            <w:r>
              <w:rPr>
                <w:color w:val="auto"/>
              </w:rPr>
              <w:t>11.21</w:t>
            </w:r>
          </w:p>
        </w:tc>
      </w:tr>
      <w:tr>
        <w:tblPrEx>
          <w:tblCellMar>
            <w:top w:w="0" w:type="dxa"/>
            <w:left w:w="108" w:type="dxa"/>
            <w:bottom w:w="0" w:type="dxa"/>
            <w:right w:w="108" w:type="dxa"/>
          </w:tblCellMar>
        </w:tblPrEx>
        <w:trPr>
          <w:trHeight w:val="397" w:hRule="atLeast"/>
        </w:trPr>
        <w:tc>
          <w:tcPr>
            <w:tcW w:w="909" w:type="pct"/>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渣场区</w:t>
            </w:r>
          </w:p>
        </w:tc>
        <w:tc>
          <w:tcPr>
            <w:tcW w:w="547" w:type="pct"/>
            <w:tcBorders>
              <w:top w:val="nil"/>
              <w:left w:val="nil"/>
              <w:bottom w:val="single" w:color="auto" w:sz="4" w:space="0"/>
              <w:right w:val="single" w:color="auto" w:sz="4" w:space="0"/>
            </w:tcBorders>
            <w:noWrap w:val="0"/>
            <w:vAlign w:val="center"/>
          </w:tcPr>
          <w:p>
            <w:pPr>
              <w:pStyle w:val="16"/>
              <w:rPr>
                <w:color w:val="auto"/>
              </w:rPr>
            </w:pPr>
            <w:r>
              <w:rPr>
                <w:color w:val="auto"/>
              </w:rPr>
              <w:t>1.85</w:t>
            </w:r>
          </w:p>
        </w:tc>
        <w:tc>
          <w:tcPr>
            <w:tcW w:w="909" w:type="pct"/>
            <w:tcBorders>
              <w:top w:val="nil"/>
              <w:left w:val="nil"/>
              <w:bottom w:val="single" w:color="auto" w:sz="4" w:space="0"/>
              <w:right w:val="single" w:color="auto" w:sz="4" w:space="0"/>
            </w:tcBorders>
            <w:noWrap w:val="0"/>
            <w:vAlign w:val="center"/>
          </w:tcPr>
          <w:p>
            <w:pPr>
              <w:pStyle w:val="16"/>
              <w:rPr>
                <w:color w:val="auto"/>
              </w:rPr>
            </w:pPr>
            <w:r>
              <w:rPr>
                <w:color w:val="auto"/>
              </w:rPr>
              <w:t>1.85</w:t>
            </w:r>
          </w:p>
        </w:tc>
        <w:tc>
          <w:tcPr>
            <w:tcW w:w="909" w:type="pct"/>
            <w:tcBorders>
              <w:top w:val="nil"/>
              <w:left w:val="nil"/>
              <w:bottom w:val="single" w:color="auto" w:sz="4" w:space="0"/>
              <w:right w:val="single" w:color="auto" w:sz="4" w:space="0"/>
            </w:tcBorders>
            <w:noWrap w:val="0"/>
            <w:vAlign w:val="center"/>
          </w:tcPr>
          <w:p>
            <w:pPr>
              <w:pStyle w:val="16"/>
              <w:rPr>
                <w:color w:val="auto"/>
              </w:rPr>
            </w:pPr>
            <w:r>
              <w:rPr>
                <w:color w:val="auto"/>
              </w:rPr>
              <w:t>　</w:t>
            </w:r>
          </w:p>
        </w:tc>
        <w:tc>
          <w:tcPr>
            <w:tcW w:w="1089" w:type="pct"/>
            <w:tcBorders>
              <w:top w:val="nil"/>
              <w:left w:val="nil"/>
              <w:bottom w:val="single" w:color="auto" w:sz="4" w:space="0"/>
              <w:right w:val="single" w:color="auto" w:sz="4" w:space="0"/>
            </w:tcBorders>
            <w:noWrap w:val="0"/>
            <w:vAlign w:val="center"/>
          </w:tcPr>
          <w:p>
            <w:pPr>
              <w:pStyle w:val="16"/>
              <w:rPr>
                <w:color w:val="auto"/>
              </w:rPr>
            </w:pPr>
            <w:r>
              <w:rPr>
                <w:color w:val="auto"/>
              </w:rPr>
              <w:t>0.37</w:t>
            </w:r>
          </w:p>
        </w:tc>
        <w:tc>
          <w:tcPr>
            <w:tcW w:w="637" w:type="pct"/>
            <w:tcBorders>
              <w:top w:val="nil"/>
              <w:left w:val="nil"/>
              <w:bottom w:val="single" w:color="auto" w:sz="4" w:space="0"/>
              <w:right w:val="single" w:color="auto" w:sz="4" w:space="0"/>
            </w:tcBorders>
            <w:noWrap w:val="0"/>
            <w:vAlign w:val="center"/>
          </w:tcPr>
          <w:p>
            <w:pPr>
              <w:pStyle w:val="16"/>
              <w:rPr>
                <w:color w:val="auto"/>
              </w:rPr>
            </w:pPr>
            <w:r>
              <w:rPr>
                <w:color w:val="auto"/>
              </w:rPr>
              <w:t>2.22</w:t>
            </w:r>
          </w:p>
        </w:tc>
      </w:tr>
      <w:tr>
        <w:tblPrEx>
          <w:tblCellMar>
            <w:top w:w="0" w:type="dxa"/>
            <w:left w:w="108" w:type="dxa"/>
            <w:bottom w:w="0" w:type="dxa"/>
            <w:right w:w="108" w:type="dxa"/>
          </w:tblCellMar>
        </w:tblPrEx>
        <w:trPr>
          <w:trHeight w:val="397" w:hRule="atLeast"/>
        </w:trPr>
        <w:tc>
          <w:tcPr>
            <w:tcW w:w="909" w:type="pct"/>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附属工程</w:t>
            </w:r>
          </w:p>
        </w:tc>
        <w:tc>
          <w:tcPr>
            <w:tcW w:w="547" w:type="pct"/>
            <w:tcBorders>
              <w:top w:val="nil"/>
              <w:left w:val="nil"/>
              <w:bottom w:val="single" w:color="auto" w:sz="4" w:space="0"/>
              <w:right w:val="single" w:color="auto" w:sz="4" w:space="0"/>
            </w:tcBorders>
            <w:noWrap w:val="0"/>
            <w:vAlign w:val="center"/>
          </w:tcPr>
          <w:p>
            <w:pPr>
              <w:pStyle w:val="16"/>
              <w:rPr>
                <w:color w:val="auto"/>
              </w:rPr>
            </w:pPr>
            <w:r>
              <w:rPr>
                <w:color w:val="auto"/>
              </w:rPr>
              <w:t>0.29</w:t>
            </w:r>
          </w:p>
        </w:tc>
        <w:tc>
          <w:tcPr>
            <w:tcW w:w="909" w:type="pct"/>
            <w:tcBorders>
              <w:top w:val="nil"/>
              <w:left w:val="nil"/>
              <w:bottom w:val="single" w:color="auto" w:sz="4" w:space="0"/>
              <w:right w:val="single" w:color="auto" w:sz="4" w:space="0"/>
            </w:tcBorders>
            <w:noWrap w:val="0"/>
            <w:vAlign w:val="center"/>
          </w:tcPr>
          <w:p>
            <w:pPr>
              <w:pStyle w:val="16"/>
              <w:rPr>
                <w:color w:val="auto"/>
              </w:rPr>
            </w:pPr>
            <w:r>
              <w:rPr>
                <w:color w:val="auto"/>
              </w:rPr>
              <w:t>　</w:t>
            </w:r>
          </w:p>
        </w:tc>
        <w:tc>
          <w:tcPr>
            <w:tcW w:w="909" w:type="pct"/>
            <w:tcBorders>
              <w:top w:val="nil"/>
              <w:left w:val="nil"/>
              <w:bottom w:val="single" w:color="auto" w:sz="4" w:space="0"/>
              <w:right w:val="single" w:color="auto" w:sz="4" w:space="0"/>
            </w:tcBorders>
            <w:noWrap w:val="0"/>
            <w:vAlign w:val="center"/>
          </w:tcPr>
          <w:p>
            <w:pPr>
              <w:pStyle w:val="16"/>
              <w:rPr>
                <w:color w:val="auto"/>
              </w:rPr>
            </w:pPr>
            <w:r>
              <w:rPr>
                <w:color w:val="auto"/>
              </w:rPr>
              <w:t>0.29</w:t>
            </w:r>
          </w:p>
        </w:tc>
        <w:tc>
          <w:tcPr>
            <w:tcW w:w="1089" w:type="pct"/>
            <w:tcBorders>
              <w:top w:val="nil"/>
              <w:left w:val="nil"/>
              <w:bottom w:val="single" w:color="auto" w:sz="4" w:space="0"/>
              <w:right w:val="single" w:color="auto" w:sz="4" w:space="0"/>
            </w:tcBorders>
            <w:noWrap w:val="0"/>
            <w:vAlign w:val="center"/>
          </w:tcPr>
          <w:p>
            <w:pPr>
              <w:pStyle w:val="16"/>
              <w:rPr>
                <w:color w:val="auto"/>
              </w:rPr>
            </w:pPr>
            <w:r>
              <w:rPr>
                <w:color w:val="auto"/>
              </w:rPr>
              <w:t>0.03</w:t>
            </w:r>
          </w:p>
        </w:tc>
        <w:tc>
          <w:tcPr>
            <w:tcW w:w="637" w:type="pct"/>
            <w:tcBorders>
              <w:top w:val="nil"/>
              <w:left w:val="nil"/>
              <w:bottom w:val="single" w:color="auto" w:sz="4" w:space="0"/>
              <w:right w:val="single" w:color="auto" w:sz="4" w:space="0"/>
            </w:tcBorders>
            <w:noWrap w:val="0"/>
            <w:vAlign w:val="center"/>
          </w:tcPr>
          <w:p>
            <w:pPr>
              <w:pStyle w:val="16"/>
              <w:rPr>
                <w:color w:val="auto"/>
              </w:rPr>
            </w:pPr>
            <w:r>
              <w:rPr>
                <w:color w:val="auto"/>
              </w:rPr>
              <w:t>0.32</w:t>
            </w:r>
          </w:p>
        </w:tc>
      </w:tr>
      <w:tr>
        <w:tblPrEx>
          <w:tblCellMar>
            <w:top w:w="0" w:type="dxa"/>
            <w:left w:w="108" w:type="dxa"/>
            <w:bottom w:w="0" w:type="dxa"/>
            <w:right w:w="108" w:type="dxa"/>
          </w:tblCellMar>
        </w:tblPrEx>
        <w:trPr>
          <w:trHeight w:val="397" w:hRule="atLeast"/>
        </w:trPr>
        <w:tc>
          <w:tcPr>
            <w:tcW w:w="909" w:type="pct"/>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合计</w:t>
            </w:r>
          </w:p>
        </w:tc>
        <w:tc>
          <w:tcPr>
            <w:tcW w:w="547" w:type="pct"/>
            <w:tcBorders>
              <w:top w:val="nil"/>
              <w:left w:val="nil"/>
              <w:bottom w:val="single" w:color="auto" w:sz="4" w:space="0"/>
              <w:right w:val="single" w:color="auto" w:sz="4" w:space="0"/>
            </w:tcBorders>
            <w:noWrap w:val="0"/>
            <w:vAlign w:val="center"/>
          </w:tcPr>
          <w:p>
            <w:pPr>
              <w:pStyle w:val="16"/>
              <w:rPr>
                <w:color w:val="auto"/>
              </w:rPr>
            </w:pPr>
            <w:r>
              <w:rPr>
                <w:color w:val="auto"/>
              </w:rPr>
              <w:t>9.11</w:t>
            </w:r>
          </w:p>
        </w:tc>
        <w:tc>
          <w:tcPr>
            <w:tcW w:w="909" w:type="pct"/>
            <w:tcBorders>
              <w:top w:val="nil"/>
              <w:left w:val="nil"/>
              <w:bottom w:val="single" w:color="auto" w:sz="4" w:space="0"/>
              <w:right w:val="single" w:color="auto" w:sz="4" w:space="0"/>
            </w:tcBorders>
            <w:noWrap w:val="0"/>
            <w:vAlign w:val="center"/>
          </w:tcPr>
          <w:p>
            <w:pPr>
              <w:pStyle w:val="16"/>
              <w:rPr>
                <w:color w:val="auto"/>
              </w:rPr>
            </w:pPr>
            <w:r>
              <w:rPr>
                <w:color w:val="auto"/>
              </w:rPr>
              <w:t>8.82</w:t>
            </w:r>
          </w:p>
        </w:tc>
        <w:tc>
          <w:tcPr>
            <w:tcW w:w="909" w:type="pct"/>
            <w:tcBorders>
              <w:top w:val="nil"/>
              <w:left w:val="nil"/>
              <w:bottom w:val="single" w:color="auto" w:sz="4" w:space="0"/>
              <w:right w:val="single" w:color="auto" w:sz="4" w:space="0"/>
            </w:tcBorders>
            <w:noWrap w:val="0"/>
            <w:vAlign w:val="center"/>
          </w:tcPr>
          <w:p>
            <w:pPr>
              <w:pStyle w:val="16"/>
              <w:rPr>
                <w:color w:val="auto"/>
              </w:rPr>
            </w:pPr>
            <w:r>
              <w:rPr>
                <w:color w:val="auto"/>
              </w:rPr>
              <w:t>0.29</w:t>
            </w:r>
          </w:p>
        </w:tc>
        <w:tc>
          <w:tcPr>
            <w:tcW w:w="1089" w:type="pct"/>
            <w:tcBorders>
              <w:top w:val="nil"/>
              <w:left w:val="nil"/>
              <w:bottom w:val="single" w:color="auto" w:sz="4" w:space="0"/>
              <w:right w:val="single" w:color="auto" w:sz="4" w:space="0"/>
            </w:tcBorders>
            <w:noWrap w:val="0"/>
            <w:vAlign w:val="center"/>
          </w:tcPr>
          <w:p>
            <w:pPr>
              <w:pStyle w:val="16"/>
              <w:rPr>
                <w:color w:val="auto"/>
              </w:rPr>
            </w:pPr>
            <w:r>
              <w:rPr>
                <w:color w:val="auto"/>
              </w:rPr>
              <w:t>4.64</w:t>
            </w:r>
          </w:p>
        </w:tc>
        <w:tc>
          <w:tcPr>
            <w:tcW w:w="637" w:type="pct"/>
            <w:tcBorders>
              <w:top w:val="nil"/>
              <w:left w:val="nil"/>
              <w:bottom w:val="single" w:color="auto" w:sz="4" w:space="0"/>
              <w:right w:val="single" w:color="auto" w:sz="4" w:space="0"/>
            </w:tcBorders>
            <w:noWrap w:val="0"/>
            <w:vAlign w:val="center"/>
          </w:tcPr>
          <w:p>
            <w:pPr>
              <w:pStyle w:val="16"/>
              <w:rPr>
                <w:color w:val="auto"/>
              </w:rPr>
            </w:pPr>
            <w:r>
              <w:rPr>
                <w:color w:val="auto"/>
              </w:rPr>
              <w:t>13.75</w:t>
            </w:r>
          </w:p>
        </w:tc>
      </w:tr>
    </w:tbl>
    <w:p>
      <w:pPr>
        <w:pStyle w:val="4"/>
        <w:rPr>
          <w:rFonts w:hint="eastAsia"/>
          <w:color w:val="auto"/>
          <w:lang w:eastAsia="zh-CN"/>
        </w:rPr>
      </w:pPr>
      <w:r>
        <w:rPr>
          <w:rFonts w:hint="eastAsia"/>
          <w:color w:val="auto"/>
          <w:lang w:val="en-US" w:eastAsia="zh-CN"/>
        </w:rPr>
        <w:t>3.1.2</w:t>
      </w:r>
      <w:r>
        <w:rPr>
          <w:rFonts w:hint="eastAsia"/>
          <w:color w:val="auto"/>
          <w:lang w:eastAsia="zh-CN"/>
        </w:rPr>
        <w:t>实际水土流失防治责任范围变化情况</w:t>
      </w:r>
    </w:p>
    <w:p>
      <w:pPr>
        <w:keepNext w:val="0"/>
        <w:keepLines w:val="0"/>
        <w:pageBreakBefore w:val="0"/>
        <w:widowControl w:val="0"/>
        <w:kinsoku/>
        <w:wordWrap/>
        <w:overflowPunct/>
        <w:topLinePunct/>
        <w:autoSpaceDE/>
        <w:autoSpaceDN/>
        <w:bidi w:val="0"/>
        <w:adjustRightInd w:val="0"/>
        <w:snapToGrid w:val="0"/>
        <w:spacing w:before="157" w:beforeLines="50" w:after="157" w:afterLines="50" w:line="360" w:lineRule="auto"/>
        <w:ind w:left="0" w:leftChars="0" w:right="0" w:rightChars="0" w:firstLine="480" w:firstLineChars="200"/>
        <w:jc w:val="both"/>
        <w:textAlignment w:val="auto"/>
        <w:outlineLvl w:val="9"/>
        <w:rPr>
          <w:rFonts w:hint="eastAsia"/>
          <w:color w:val="auto"/>
          <w:lang w:eastAsia="zh-CN"/>
        </w:rPr>
      </w:pPr>
      <w:r>
        <w:rPr>
          <w:rFonts w:hint="eastAsia"/>
          <w:color w:val="auto"/>
          <w:lang w:eastAsia="zh-CN"/>
        </w:rPr>
        <w:t>根据现场监测，项目实际防治责任范围为</w:t>
      </w:r>
      <w:r>
        <w:rPr>
          <w:rFonts w:hint="eastAsia"/>
          <w:color w:val="auto"/>
          <w:lang w:val="en-US" w:eastAsia="zh-CN"/>
        </w:rPr>
        <w:t>5.43</w:t>
      </w:r>
      <w:r>
        <w:rPr>
          <w:rFonts w:hint="eastAsia"/>
          <w:color w:val="auto"/>
          <w:lang w:eastAsia="zh-CN"/>
        </w:rPr>
        <w:t>hm</w:t>
      </w:r>
      <w:r>
        <w:rPr>
          <w:rFonts w:hint="eastAsia"/>
          <w:color w:val="auto"/>
          <w:vertAlign w:val="superscript"/>
          <w:lang w:val="en-US" w:eastAsia="zh-CN"/>
        </w:rPr>
        <w:t>2</w:t>
      </w:r>
      <w:r>
        <w:rPr>
          <w:rFonts w:hint="eastAsia"/>
          <w:color w:val="auto"/>
          <w:lang w:eastAsia="zh-CN"/>
        </w:rPr>
        <w:t>，均为建设区面积，无直接影响区面积，防治责任范围变化情况具体见表</w:t>
      </w:r>
      <w:r>
        <w:rPr>
          <w:rFonts w:hint="eastAsia"/>
          <w:color w:val="auto"/>
          <w:lang w:val="en-US" w:eastAsia="zh-CN"/>
        </w:rPr>
        <w:t>3-2</w:t>
      </w:r>
      <w:r>
        <w:rPr>
          <w:rFonts w:hint="eastAsia"/>
          <w:color w:val="auto"/>
          <w:lang w:eastAsia="zh-CN"/>
        </w:rPr>
        <w:t>。</w:t>
      </w:r>
    </w:p>
    <w:p>
      <w:pPr>
        <w:pStyle w:val="6"/>
        <w:rPr>
          <w:rFonts w:hint="eastAsia"/>
          <w:color w:val="auto"/>
          <w:lang w:val="en-US" w:eastAsia="zh-CN"/>
        </w:rPr>
      </w:pPr>
    </w:p>
    <w:p>
      <w:pPr>
        <w:rPr>
          <w:rFonts w:hint="eastAsia" w:eastAsia="仿宋"/>
          <w:color w:val="auto"/>
          <w:sz w:val="24"/>
          <w:szCs w:val="24"/>
          <w:lang w:val="en-US" w:eastAsia="zh-CN"/>
        </w:rPr>
        <w:sectPr>
          <w:headerReference r:id="rId10" w:type="defaul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17"/>
        <w:rPr>
          <w:rFonts w:hint="eastAsia"/>
          <w:color w:val="auto"/>
          <w:lang w:val="en-US" w:eastAsia="zh-CN"/>
        </w:rPr>
      </w:pPr>
      <w:r>
        <w:rPr>
          <w:rFonts w:hint="eastAsia"/>
          <w:color w:val="auto"/>
          <w:lang w:val="en-US" w:eastAsia="zh-CN"/>
        </w:rPr>
        <w:t>表3-2 防治责任范围变化情况 单位：hm</w:t>
      </w:r>
      <w:r>
        <w:rPr>
          <w:rFonts w:hint="eastAsia"/>
          <w:color w:val="auto"/>
          <w:vertAlign w:val="superscript"/>
          <w:lang w:val="en-US" w:eastAsia="zh-CN"/>
        </w:rPr>
        <w:t>2</w:t>
      </w:r>
    </w:p>
    <w:tbl>
      <w:tblPr>
        <w:tblStyle w:val="11"/>
        <w:tblW w:w="5000" w:type="pct"/>
        <w:tblInd w:w="0" w:type="dxa"/>
        <w:tblLayout w:type="autofit"/>
        <w:tblCellMar>
          <w:top w:w="0" w:type="dxa"/>
          <w:left w:w="108" w:type="dxa"/>
          <w:bottom w:w="0" w:type="dxa"/>
          <w:right w:w="108" w:type="dxa"/>
        </w:tblCellMar>
      </w:tblPr>
      <w:tblGrid>
        <w:gridCol w:w="1524"/>
        <w:gridCol w:w="1093"/>
        <w:gridCol w:w="1093"/>
        <w:gridCol w:w="1093"/>
        <w:gridCol w:w="1093"/>
        <w:gridCol w:w="1093"/>
        <w:gridCol w:w="937"/>
        <w:gridCol w:w="1093"/>
        <w:gridCol w:w="1093"/>
        <w:gridCol w:w="1096"/>
        <w:gridCol w:w="4406"/>
      </w:tblGrid>
      <w:tr>
        <w:tblPrEx>
          <w:tblCellMar>
            <w:top w:w="0" w:type="dxa"/>
            <w:left w:w="108" w:type="dxa"/>
            <w:bottom w:w="0" w:type="dxa"/>
            <w:right w:w="108" w:type="dxa"/>
          </w:tblCellMar>
        </w:tblPrEx>
        <w:trPr>
          <w:trHeight w:val="300" w:hRule="atLeast"/>
        </w:trPr>
        <w:tc>
          <w:tcPr>
            <w:tcW w:w="488" w:type="pct"/>
            <w:vMerge w:val="restart"/>
            <w:tcBorders>
              <w:top w:val="single" w:color="auto" w:sz="8" w:space="0"/>
              <w:left w:val="single" w:color="auto" w:sz="8" w:space="0"/>
              <w:bottom w:val="single" w:color="000000" w:sz="8" w:space="0"/>
              <w:right w:val="single" w:color="000000" w:sz="8" w:space="0"/>
            </w:tcBorders>
            <w:shd w:val="clear" w:color="auto" w:fill="auto"/>
            <w:noWrap w:val="0"/>
            <w:vAlign w:val="center"/>
          </w:tcPr>
          <w:p>
            <w:pPr>
              <w:pStyle w:val="16"/>
              <w:rPr>
                <w:color w:val="auto"/>
              </w:rPr>
            </w:pPr>
            <w:r>
              <w:rPr>
                <w:color w:val="auto"/>
              </w:rPr>
              <w:t>项目组成</w:t>
            </w:r>
          </w:p>
        </w:tc>
        <w:tc>
          <w:tcPr>
            <w:tcW w:w="1050" w:type="pct"/>
            <w:gridSpan w:val="3"/>
            <w:tcBorders>
              <w:top w:val="single" w:color="auto" w:sz="8" w:space="0"/>
              <w:left w:val="nil"/>
              <w:bottom w:val="single" w:color="auto" w:sz="8" w:space="0"/>
              <w:right w:val="single" w:color="000000" w:sz="8" w:space="0"/>
            </w:tcBorders>
            <w:shd w:val="clear" w:color="auto" w:fill="auto"/>
            <w:noWrap w:val="0"/>
            <w:vAlign w:val="center"/>
          </w:tcPr>
          <w:p>
            <w:pPr>
              <w:pStyle w:val="16"/>
              <w:rPr>
                <w:color w:val="auto"/>
              </w:rPr>
            </w:pPr>
            <w:r>
              <w:rPr>
                <w:color w:val="auto"/>
              </w:rPr>
              <w:t>方案设计防治责任范围</w:t>
            </w:r>
          </w:p>
        </w:tc>
        <w:tc>
          <w:tcPr>
            <w:tcW w:w="1000" w:type="pct"/>
            <w:gridSpan w:val="3"/>
            <w:tcBorders>
              <w:top w:val="single" w:color="auto" w:sz="8" w:space="0"/>
              <w:left w:val="nil"/>
              <w:bottom w:val="single" w:color="auto" w:sz="8" w:space="0"/>
              <w:right w:val="single" w:color="000000" w:sz="8" w:space="0"/>
            </w:tcBorders>
            <w:shd w:val="clear" w:color="auto" w:fill="auto"/>
            <w:noWrap w:val="0"/>
            <w:vAlign w:val="center"/>
          </w:tcPr>
          <w:p>
            <w:pPr>
              <w:pStyle w:val="16"/>
              <w:rPr>
                <w:color w:val="auto"/>
              </w:rPr>
            </w:pPr>
            <w:r>
              <w:rPr>
                <w:color w:val="auto"/>
              </w:rPr>
              <w:t>实际防治责任范围</w:t>
            </w:r>
          </w:p>
        </w:tc>
        <w:tc>
          <w:tcPr>
            <w:tcW w:w="1051" w:type="pct"/>
            <w:gridSpan w:val="3"/>
            <w:tcBorders>
              <w:top w:val="single" w:color="auto" w:sz="8" w:space="0"/>
              <w:left w:val="nil"/>
              <w:bottom w:val="single" w:color="auto" w:sz="8" w:space="0"/>
              <w:right w:val="single" w:color="000000" w:sz="8" w:space="0"/>
            </w:tcBorders>
            <w:shd w:val="clear" w:color="auto" w:fill="auto"/>
            <w:noWrap w:val="0"/>
            <w:vAlign w:val="center"/>
          </w:tcPr>
          <w:p>
            <w:pPr>
              <w:pStyle w:val="16"/>
              <w:rPr>
                <w:color w:val="auto"/>
              </w:rPr>
            </w:pPr>
            <w:r>
              <w:rPr>
                <w:color w:val="auto"/>
              </w:rPr>
              <w:t>变化情况</w:t>
            </w:r>
          </w:p>
        </w:tc>
        <w:tc>
          <w:tcPr>
            <w:tcW w:w="1411" w:type="pct"/>
            <w:tcBorders>
              <w:top w:val="single" w:color="auto" w:sz="8" w:space="0"/>
              <w:left w:val="nil"/>
              <w:bottom w:val="single" w:color="auto" w:sz="8" w:space="0"/>
              <w:right w:val="single" w:color="auto" w:sz="8" w:space="0"/>
            </w:tcBorders>
            <w:shd w:val="clear" w:color="auto" w:fill="auto"/>
            <w:noWrap w:val="0"/>
            <w:vAlign w:val="center"/>
          </w:tcPr>
          <w:p>
            <w:pPr>
              <w:pStyle w:val="16"/>
              <w:rPr>
                <w:color w:val="auto"/>
              </w:rPr>
            </w:pPr>
            <w:r>
              <w:rPr>
                <w:color w:val="auto"/>
              </w:rPr>
              <w:t>备注</w:t>
            </w:r>
          </w:p>
        </w:tc>
      </w:tr>
      <w:tr>
        <w:tblPrEx>
          <w:tblCellMar>
            <w:top w:w="0" w:type="dxa"/>
            <w:left w:w="108" w:type="dxa"/>
            <w:bottom w:w="0" w:type="dxa"/>
            <w:right w:w="108" w:type="dxa"/>
          </w:tblCellMar>
        </w:tblPrEx>
        <w:trPr>
          <w:trHeight w:val="312" w:hRule="atLeast"/>
        </w:trPr>
        <w:tc>
          <w:tcPr>
            <w:tcW w:w="488" w:type="pct"/>
            <w:vMerge w:val="continue"/>
            <w:tcBorders>
              <w:top w:val="single" w:color="auto" w:sz="8" w:space="0"/>
              <w:left w:val="single" w:color="auto" w:sz="8" w:space="0"/>
              <w:bottom w:val="single" w:color="000000" w:sz="8" w:space="0"/>
              <w:right w:val="single" w:color="000000" w:sz="8" w:space="0"/>
            </w:tcBorders>
            <w:shd w:val="clear" w:color="auto" w:fill="auto"/>
            <w:noWrap w:val="0"/>
            <w:vAlign w:val="center"/>
          </w:tcPr>
          <w:p>
            <w:pPr>
              <w:pStyle w:val="16"/>
              <w:rPr>
                <w:color w:val="auto"/>
              </w:rPr>
            </w:pPr>
          </w:p>
        </w:tc>
        <w:tc>
          <w:tcPr>
            <w:tcW w:w="350" w:type="pct"/>
            <w:vMerge w:val="restart"/>
            <w:tcBorders>
              <w:top w:val="nil"/>
              <w:left w:val="single" w:color="auto" w:sz="8" w:space="0"/>
              <w:bottom w:val="single" w:color="000000" w:sz="8" w:space="0"/>
              <w:right w:val="single" w:color="auto" w:sz="8" w:space="0"/>
            </w:tcBorders>
            <w:shd w:val="clear" w:color="auto" w:fill="auto"/>
            <w:noWrap w:val="0"/>
            <w:vAlign w:val="center"/>
          </w:tcPr>
          <w:p>
            <w:pPr>
              <w:pStyle w:val="16"/>
              <w:rPr>
                <w:color w:val="auto"/>
              </w:rPr>
            </w:pPr>
            <w:r>
              <w:rPr>
                <w:color w:val="auto"/>
              </w:rPr>
              <w:t>项目建设区</w:t>
            </w:r>
          </w:p>
        </w:tc>
        <w:tc>
          <w:tcPr>
            <w:tcW w:w="350" w:type="pct"/>
            <w:vMerge w:val="restart"/>
            <w:tcBorders>
              <w:top w:val="nil"/>
              <w:left w:val="single" w:color="auto" w:sz="8" w:space="0"/>
              <w:bottom w:val="single" w:color="000000" w:sz="8" w:space="0"/>
              <w:right w:val="single" w:color="auto" w:sz="8" w:space="0"/>
            </w:tcBorders>
            <w:shd w:val="clear" w:color="auto" w:fill="auto"/>
            <w:noWrap w:val="0"/>
            <w:vAlign w:val="center"/>
          </w:tcPr>
          <w:p>
            <w:pPr>
              <w:pStyle w:val="16"/>
              <w:rPr>
                <w:color w:val="auto"/>
              </w:rPr>
            </w:pPr>
            <w:r>
              <w:rPr>
                <w:color w:val="auto"/>
              </w:rPr>
              <w:t>直接影响区</w:t>
            </w:r>
          </w:p>
        </w:tc>
        <w:tc>
          <w:tcPr>
            <w:tcW w:w="350" w:type="pct"/>
            <w:vMerge w:val="restart"/>
            <w:tcBorders>
              <w:top w:val="nil"/>
              <w:left w:val="single" w:color="auto" w:sz="8" w:space="0"/>
              <w:bottom w:val="single" w:color="000000" w:sz="8" w:space="0"/>
              <w:right w:val="single" w:color="auto" w:sz="8" w:space="0"/>
            </w:tcBorders>
            <w:shd w:val="clear" w:color="auto" w:fill="auto"/>
            <w:noWrap w:val="0"/>
            <w:vAlign w:val="center"/>
          </w:tcPr>
          <w:p>
            <w:pPr>
              <w:pStyle w:val="16"/>
              <w:rPr>
                <w:color w:val="auto"/>
              </w:rPr>
            </w:pPr>
            <w:r>
              <w:rPr>
                <w:color w:val="auto"/>
              </w:rPr>
              <w:t>小计</w:t>
            </w:r>
          </w:p>
        </w:tc>
        <w:tc>
          <w:tcPr>
            <w:tcW w:w="350" w:type="pct"/>
            <w:vMerge w:val="restart"/>
            <w:tcBorders>
              <w:top w:val="nil"/>
              <w:left w:val="single" w:color="auto" w:sz="8" w:space="0"/>
              <w:bottom w:val="single" w:color="000000" w:sz="8" w:space="0"/>
              <w:right w:val="single" w:color="auto" w:sz="8" w:space="0"/>
            </w:tcBorders>
            <w:shd w:val="clear" w:color="auto" w:fill="auto"/>
            <w:noWrap w:val="0"/>
            <w:vAlign w:val="center"/>
          </w:tcPr>
          <w:p>
            <w:pPr>
              <w:pStyle w:val="16"/>
              <w:rPr>
                <w:color w:val="auto"/>
              </w:rPr>
            </w:pPr>
            <w:r>
              <w:rPr>
                <w:color w:val="auto"/>
              </w:rPr>
              <w:t>项目建设区</w:t>
            </w:r>
          </w:p>
        </w:tc>
        <w:tc>
          <w:tcPr>
            <w:tcW w:w="350" w:type="pct"/>
            <w:vMerge w:val="restart"/>
            <w:tcBorders>
              <w:top w:val="nil"/>
              <w:left w:val="single" w:color="auto" w:sz="8" w:space="0"/>
              <w:bottom w:val="single" w:color="000000" w:sz="8" w:space="0"/>
              <w:right w:val="single" w:color="auto" w:sz="8" w:space="0"/>
            </w:tcBorders>
            <w:shd w:val="clear" w:color="auto" w:fill="auto"/>
            <w:noWrap w:val="0"/>
            <w:vAlign w:val="center"/>
          </w:tcPr>
          <w:p>
            <w:pPr>
              <w:pStyle w:val="16"/>
              <w:rPr>
                <w:color w:val="auto"/>
              </w:rPr>
            </w:pPr>
            <w:r>
              <w:rPr>
                <w:color w:val="auto"/>
              </w:rPr>
              <w:t>直接影响区</w:t>
            </w:r>
          </w:p>
        </w:tc>
        <w:tc>
          <w:tcPr>
            <w:tcW w:w="300" w:type="pct"/>
            <w:vMerge w:val="restart"/>
            <w:tcBorders>
              <w:top w:val="nil"/>
              <w:left w:val="single" w:color="auto" w:sz="8" w:space="0"/>
              <w:bottom w:val="single" w:color="000000" w:sz="8" w:space="0"/>
              <w:right w:val="single" w:color="auto" w:sz="8" w:space="0"/>
            </w:tcBorders>
            <w:shd w:val="clear" w:color="auto" w:fill="auto"/>
            <w:noWrap w:val="0"/>
            <w:vAlign w:val="center"/>
          </w:tcPr>
          <w:p>
            <w:pPr>
              <w:pStyle w:val="16"/>
              <w:rPr>
                <w:color w:val="auto"/>
              </w:rPr>
            </w:pPr>
            <w:r>
              <w:rPr>
                <w:color w:val="auto"/>
              </w:rPr>
              <w:t>小计</w:t>
            </w:r>
          </w:p>
        </w:tc>
        <w:tc>
          <w:tcPr>
            <w:tcW w:w="350" w:type="pct"/>
            <w:vMerge w:val="restart"/>
            <w:tcBorders>
              <w:top w:val="nil"/>
              <w:left w:val="single" w:color="auto" w:sz="8" w:space="0"/>
              <w:bottom w:val="single" w:color="000000" w:sz="8" w:space="0"/>
              <w:right w:val="single" w:color="auto" w:sz="8" w:space="0"/>
            </w:tcBorders>
            <w:shd w:val="clear" w:color="auto" w:fill="auto"/>
            <w:noWrap w:val="0"/>
            <w:vAlign w:val="center"/>
          </w:tcPr>
          <w:p>
            <w:pPr>
              <w:pStyle w:val="16"/>
              <w:rPr>
                <w:color w:val="auto"/>
              </w:rPr>
            </w:pPr>
            <w:r>
              <w:rPr>
                <w:color w:val="auto"/>
              </w:rPr>
              <w:t>项目建设区</w:t>
            </w:r>
          </w:p>
        </w:tc>
        <w:tc>
          <w:tcPr>
            <w:tcW w:w="350" w:type="pct"/>
            <w:vMerge w:val="restart"/>
            <w:tcBorders>
              <w:top w:val="nil"/>
              <w:left w:val="single" w:color="auto" w:sz="8" w:space="0"/>
              <w:bottom w:val="single" w:color="000000" w:sz="8" w:space="0"/>
              <w:right w:val="single" w:color="auto" w:sz="8" w:space="0"/>
            </w:tcBorders>
            <w:shd w:val="clear" w:color="auto" w:fill="auto"/>
            <w:noWrap w:val="0"/>
            <w:vAlign w:val="center"/>
          </w:tcPr>
          <w:p>
            <w:pPr>
              <w:pStyle w:val="16"/>
              <w:rPr>
                <w:color w:val="auto"/>
              </w:rPr>
            </w:pPr>
            <w:r>
              <w:rPr>
                <w:color w:val="auto"/>
              </w:rPr>
              <w:t>直接影响区</w:t>
            </w:r>
          </w:p>
        </w:tc>
        <w:tc>
          <w:tcPr>
            <w:tcW w:w="351" w:type="pct"/>
            <w:vMerge w:val="restart"/>
            <w:tcBorders>
              <w:top w:val="nil"/>
              <w:left w:val="single" w:color="auto" w:sz="8" w:space="0"/>
              <w:bottom w:val="single" w:color="000000" w:sz="8" w:space="0"/>
              <w:right w:val="single" w:color="auto" w:sz="8" w:space="0"/>
            </w:tcBorders>
            <w:shd w:val="clear" w:color="auto" w:fill="auto"/>
            <w:noWrap w:val="0"/>
            <w:vAlign w:val="center"/>
          </w:tcPr>
          <w:p>
            <w:pPr>
              <w:pStyle w:val="16"/>
              <w:rPr>
                <w:color w:val="auto"/>
              </w:rPr>
            </w:pPr>
            <w:r>
              <w:rPr>
                <w:color w:val="auto"/>
              </w:rPr>
              <w:t>小计</w:t>
            </w:r>
          </w:p>
        </w:tc>
        <w:tc>
          <w:tcPr>
            <w:tcW w:w="1411" w:type="pct"/>
            <w:vMerge w:val="restart"/>
            <w:tcBorders>
              <w:top w:val="nil"/>
              <w:left w:val="single" w:color="auto" w:sz="8" w:space="0"/>
              <w:bottom w:val="single" w:color="000000" w:sz="8" w:space="0"/>
              <w:right w:val="single" w:color="auto" w:sz="8" w:space="0"/>
            </w:tcBorders>
            <w:shd w:val="clear" w:color="auto" w:fill="auto"/>
            <w:noWrap w:val="0"/>
            <w:vAlign w:val="center"/>
          </w:tcPr>
          <w:p>
            <w:pPr>
              <w:pStyle w:val="16"/>
              <w:rPr>
                <w:color w:val="auto"/>
              </w:rPr>
            </w:pPr>
            <w:r>
              <w:rPr>
                <w:color w:val="auto"/>
              </w:rPr>
              <w:t>　</w:t>
            </w:r>
          </w:p>
        </w:tc>
      </w:tr>
      <w:tr>
        <w:tblPrEx>
          <w:tblCellMar>
            <w:top w:w="0" w:type="dxa"/>
            <w:left w:w="108" w:type="dxa"/>
            <w:bottom w:w="0" w:type="dxa"/>
            <w:right w:w="108" w:type="dxa"/>
          </w:tblCellMar>
        </w:tblPrEx>
        <w:trPr>
          <w:trHeight w:val="312" w:hRule="atLeast"/>
        </w:trPr>
        <w:tc>
          <w:tcPr>
            <w:tcW w:w="488" w:type="pct"/>
            <w:vMerge w:val="continue"/>
            <w:tcBorders>
              <w:top w:val="single" w:color="auto" w:sz="8" w:space="0"/>
              <w:left w:val="single" w:color="auto" w:sz="8" w:space="0"/>
              <w:bottom w:val="single" w:color="000000" w:sz="8" w:space="0"/>
              <w:right w:val="single" w:color="000000" w:sz="8" w:space="0"/>
            </w:tcBorders>
            <w:noWrap w:val="0"/>
            <w:vAlign w:val="center"/>
          </w:tcPr>
          <w:p>
            <w:pPr>
              <w:pStyle w:val="16"/>
              <w:rPr>
                <w:color w:val="auto"/>
              </w:rPr>
            </w:pPr>
          </w:p>
        </w:tc>
        <w:tc>
          <w:tcPr>
            <w:tcW w:w="350" w:type="pct"/>
            <w:vMerge w:val="continue"/>
            <w:tcBorders>
              <w:top w:val="nil"/>
              <w:left w:val="single" w:color="auto" w:sz="8" w:space="0"/>
              <w:bottom w:val="single" w:color="000000" w:sz="8" w:space="0"/>
              <w:right w:val="single" w:color="auto" w:sz="8" w:space="0"/>
            </w:tcBorders>
            <w:noWrap w:val="0"/>
            <w:vAlign w:val="center"/>
          </w:tcPr>
          <w:p>
            <w:pPr>
              <w:pStyle w:val="16"/>
              <w:rPr>
                <w:color w:val="auto"/>
              </w:rPr>
            </w:pPr>
          </w:p>
        </w:tc>
        <w:tc>
          <w:tcPr>
            <w:tcW w:w="350" w:type="pct"/>
            <w:vMerge w:val="continue"/>
            <w:tcBorders>
              <w:top w:val="nil"/>
              <w:left w:val="single" w:color="auto" w:sz="8" w:space="0"/>
              <w:bottom w:val="single" w:color="000000" w:sz="8" w:space="0"/>
              <w:right w:val="single" w:color="auto" w:sz="8" w:space="0"/>
            </w:tcBorders>
            <w:noWrap w:val="0"/>
            <w:vAlign w:val="center"/>
          </w:tcPr>
          <w:p>
            <w:pPr>
              <w:pStyle w:val="16"/>
              <w:rPr>
                <w:color w:val="auto"/>
              </w:rPr>
            </w:pPr>
          </w:p>
        </w:tc>
        <w:tc>
          <w:tcPr>
            <w:tcW w:w="350" w:type="pct"/>
            <w:vMerge w:val="continue"/>
            <w:tcBorders>
              <w:top w:val="nil"/>
              <w:left w:val="single" w:color="auto" w:sz="8" w:space="0"/>
              <w:bottom w:val="single" w:color="000000" w:sz="8" w:space="0"/>
              <w:right w:val="single" w:color="auto" w:sz="8" w:space="0"/>
            </w:tcBorders>
            <w:noWrap w:val="0"/>
            <w:vAlign w:val="center"/>
          </w:tcPr>
          <w:p>
            <w:pPr>
              <w:pStyle w:val="16"/>
              <w:rPr>
                <w:color w:val="auto"/>
              </w:rPr>
            </w:pPr>
          </w:p>
        </w:tc>
        <w:tc>
          <w:tcPr>
            <w:tcW w:w="350" w:type="pct"/>
            <w:vMerge w:val="continue"/>
            <w:tcBorders>
              <w:top w:val="nil"/>
              <w:left w:val="single" w:color="auto" w:sz="8" w:space="0"/>
              <w:bottom w:val="single" w:color="000000" w:sz="8" w:space="0"/>
              <w:right w:val="single" w:color="auto" w:sz="8" w:space="0"/>
            </w:tcBorders>
            <w:noWrap w:val="0"/>
            <w:vAlign w:val="center"/>
          </w:tcPr>
          <w:p>
            <w:pPr>
              <w:pStyle w:val="16"/>
              <w:rPr>
                <w:color w:val="auto"/>
              </w:rPr>
            </w:pPr>
          </w:p>
        </w:tc>
        <w:tc>
          <w:tcPr>
            <w:tcW w:w="350" w:type="pct"/>
            <w:vMerge w:val="continue"/>
            <w:tcBorders>
              <w:top w:val="nil"/>
              <w:left w:val="single" w:color="auto" w:sz="8" w:space="0"/>
              <w:bottom w:val="single" w:color="000000" w:sz="8" w:space="0"/>
              <w:right w:val="single" w:color="auto" w:sz="8" w:space="0"/>
            </w:tcBorders>
            <w:noWrap w:val="0"/>
            <w:vAlign w:val="center"/>
          </w:tcPr>
          <w:p>
            <w:pPr>
              <w:pStyle w:val="16"/>
              <w:rPr>
                <w:color w:val="auto"/>
              </w:rPr>
            </w:pPr>
          </w:p>
        </w:tc>
        <w:tc>
          <w:tcPr>
            <w:tcW w:w="300" w:type="pct"/>
            <w:vMerge w:val="continue"/>
            <w:tcBorders>
              <w:top w:val="nil"/>
              <w:left w:val="single" w:color="auto" w:sz="8" w:space="0"/>
              <w:bottom w:val="single" w:color="000000" w:sz="8" w:space="0"/>
              <w:right w:val="single" w:color="auto" w:sz="8" w:space="0"/>
            </w:tcBorders>
            <w:noWrap w:val="0"/>
            <w:vAlign w:val="center"/>
          </w:tcPr>
          <w:p>
            <w:pPr>
              <w:pStyle w:val="16"/>
              <w:rPr>
                <w:color w:val="auto"/>
              </w:rPr>
            </w:pPr>
          </w:p>
        </w:tc>
        <w:tc>
          <w:tcPr>
            <w:tcW w:w="350" w:type="pct"/>
            <w:vMerge w:val="continue"/>
            <w:tcBorders>
              <w:top w:val="nil"/>
              <w:left w:val="single" w:color="auto" w:sz="8" w:space="0"/>
              <w:bottom w:val="single" w:color="000000" w:sz="8" w:space="0"/>
              <w:right w:val="single" w:color="auto" w:sz="8" w:space="0"/>
            </w:tcBorders>
            <w:noWrap w:val="0"/>
            <w:vAlign w:val="center"/>
          </w:tcPr>
          <w:p>
            <w:pPr>
              <w:pStyle w:val="16"/>
              <w:rPr>
                <w:color w:val="auto"/>
              </w:rPr>
            </w:pPr>
          </w:p>
        </w:tc>
        <w:tc>
          <w:tcPr>
            <w:tcW w:w="350" w:type="pct"/>
            <w:vMerge w:val="continue"/>
            <w:tcBorders>
              <w:top w:val="nil"/>
              <w:left w:val="single" w:color="auto" w:sz="8" w:space="0"/>
              <w:bottom w:val="single" w:color="000000" w:sz="8" w:space="0"/>
              <w:right w:val="single" w:color="auto" w:sz="8" w:space="0"/>
            </w:tcBorders>
            <w:noWrap w:val="0"/>
            <w:vAlign w:val="center"/>
          </w:tcPr>
          <w:p>
            <w:pPr>
              <w:pStyle w:val="16"/>
              <w:rPr>
                <w:color w:val="auto"/>
              </w:rPr>
            </w:pPr>
          </w:p>
        </w:tc>
        <w:tc>
          <w:tcPr>
            <w:tcW w:w="351" w:type="pct"/>
            <w:vMerge w:val="continue"/>
            <w:tcBorders>
              <w:top w:val="nil"/>
              <w:left w:val="single" w:color="auto" w:sz="8" w:space="0"/>
              <w:bottom w:val="single" w:color="000000" w:sz="8" w:space="0"/>
              <w:right w:val="single" w:color="auto" w:sz="8" w:space="0"/>
            </w:tcBorders>
            <w:noWrap w:val="0"/>
            <w:vAlign w:val="center"/>
          </w:tcPr>
          <w:p>
            <w:pPr>
              <w:pStyle w:val="16"/>
              <w:rPr>
                <w:color w:val="auto"/>
              </w:rPr>
            </w:pPr>
          </w:p>
        </w:tc>
        <w:tc>
          <w:tcPr>
            <w:tcW w:w="1411" w:type="pct"/>
            <w:vMerge w:val="continue"/>
            <w:tcBorders>
              <w:top w:val="nil"/>
              <w:left w:val="single" w:color="auto" w:sz="8" w:space="0"/>
              <w:bottom w:val="single" w:color="000000" w:sz="8" w:space="0"/>
              <w:right w:val="single" w:color="auto" w:sz="8" w:space="0"/>
            </w:tcBorders>
            <w:noWrap w:val="0"/>
            <w:vAlign w:val="center"/>
          </w:tcPr>
          <w:p>
            <w:pPr>
              <w:pStyle w:val="16"/>
              <w:rPr>
                <w:color w:val="auto"/>
              </w:rPr>
            </w:pPr>
          </w:p>
        </w:tc>
      </w:tr>
      <w:tr>
        <w:tblPrEx>
          <w:tblCellMar>
            <w:top w:w="0" w:type="dxa"/>
            <w:left w:w="108" w:type="dxa"/>
            <w:bottom w:w="0" w:type="dxa"/>
            <w:right w:w="108" w:type="dxa"/>
          </w:tblCellMar>
        </w:tblPrEx>
        <w:trPr>
          <w:trHeight w:val="300" w:hRule="atLeast"/>
        </w:trPr>
        <w:tc>
          <w:tcPr>
            <w:tcW w:w="488" w:type="pct"/>
            <w:tcBorders>
              <w:top w:val="single" w:color="auto" w:sz="8" w:space="0"/>
              <w:left w:val="single" w:color="auto" w:sz="8" w:space="0"/>
              <w:bottom w:val="single" w:color="auto" w:sz="8" w:space="0"/>
              <w:right w:val="single" w:color="000000" w:sz="8" w:space="0"/>
            </w:tcBorders>
            <w:shd w:val="clear" w:color="auto" w:fill="auto"/>
            <w:noWrap w:val="0"/>
            <w:vAlign w:val="center"/>
          </w:tcPr>
          <w:p>
            <w:pPr>
              <w:pStyle w:val="16"/>
              <w:rPr>
                <w:color w:val="auto"/>
              </w:rPr>
            </w:pPr>
            <w:r>
              <w:rPr>
                <w:color w:val="auto"/>
              </w:rPr>
              <w:t>路基工程区</w:t>
            </w:r>
          </w:p>
        </w:tc>
        <w:tc>
          <w:tcPr>
            <w:tcW w:w="350"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6.97</w:t>
            </w:r>
          </w:p>
        </w:tc>
        <w:tc>
          <w:tcPr>
            <w:tcW w:w="350"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4.24</w:t>
            </w:r>
          </w:p>
        </w:tc>
        <w:tc>
          <w:tcPr>
            <w:tcW w:w="350"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11.21</w:t>
            </w:r>
          </w:p>
        </w:tc>
        <w:tc>
          <w:tcPr>
            <w:tcW w:w="350"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5.43</w:t>
            </w:r>
          </w:p>
        </w:tc>
        <w:tc>
          <w:tcPr>
            <w:tcW w:w="350"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0</w:t>
            </w:r>
          </w:p>
        </w:tc>
        <w:tc>
          <w:tcPr>
            <w:tcW w:w="300"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5.43</w:t>
            </w:r>
          </w:p>
        </w:tc>
        <w:tc>
          <w:tcPr>
            <w:tcW w:w="350"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-1.54</w:t>
            </w:r>
          </w:p>
        </w:tc>
        <w:tc>
          <w:tcPr>
            <w:tcW w:w="350"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-4.24</w:t>
            </w:r>
          </w:p>
        </w:tc>
        <w:tc>
          <w:tcPr>
            <w:tcW w:w="351"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-5.78</w:t>
            </w:r>
          </w:p>
        </w:tc>
        <w:tc>
          <w:tcPr>
            <w:tcW w:w="1411" w:type="pct"/>
            <w:tcBorders>
              <w:top w:val="nil"/>
              <w:left w:val="nil"/>
              <w:bottom w:val="single" w:color="auto" w:sz="8" w:space="0"/>
              <w:right w:val="single" w:color="auto" w:sz="8" w:space="0"/>
            </w:tcBorders>
            <w:shd w:val="clear" w:color="auto" w:fill="auto"/>
            <w:noWrap w:val="0"/>
            <w:vAlign w:val="center"/>
          </w:tcPr>
          <w:p>
            <w:pPr>
              <w:pStyle w:val="16"/>
              <w:rPr>
                <w:color w:val="auto"/>
              </w:rPr>
            </w:pPr>
            <w:r>
              <w:rPr>
                <w:color w:val="auto"/>
              </w:rPr>
              <w:t>　</w:t>
            </w:r>
          </w:p>
        </w:tc>
      </w:tr>
      <w:tr>
        <w:tblPrEx>
          <w:tblCellMar>
            <w:top w:w="0" w:type="dxa"/>
            <w:left w:w="108" w:type="dxa"/>
            <w:bottom w:w="0" w:type="dxa"/>
            <w:right w:w="108" w:type="dxa"/>
          </w:tblCellMar>
        </w:tblPrEx>
        <w:trPr>
          <w:trHeight w:val="956" w:hRule="atLeast"/>
        </w:trPr>
        <w:tc>
          <w:tcPr>
            <w:tcW w:w="488" w:type="pct"/>
            <w:tcBorders>
              <w:top w:val="single" w:color="auto" w:sz="8" w:space="0"/>
              <w:left w:val="single" w:color="auto" w:sz="8" w:space="0"/>
              <w:bottom w:val="single" w:color="auto" w:sz="8" w:space="0"/>
              <w:right w:val="single" w:color="000000" w:sz="8" w:space="0"/>
            </w:tcBorders>
            <w:shd w:val="clear" w:color="auto" w:fill="auto"/>
            <w:noWrap w:val="0"/>
            <w:vAlign w:val="center"/>
          </w:tcPr>
          <w:p>
            <w:pPr>
              <w:pStyle w:val="16"/>
              <w:rPr>
                <w:color w:val="auto"/>
              </w:rPr>
            </w:pPr>
            <w:r>
              <w:rPr>
                <w:color w:val="auto"/>
              </w:rPr>
              <w:t>渣场区</w:t>
            </w:r>
          </w:p>
        </w:tc>
        <w:tc>
          <w:tcPr>
            <w:tcW w:w="350"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1.85</w:t>
            </w:r>
          </w:p>
        </w:tc>
        <w:tc>
          <w:tcPr>
            <w:tcW w:w="350"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0.37</w:t>
            </w:r>
          </w:p>
        </w:tc>
        <w:tc>
          <w:tcPr>
            <w:tcW w:w="350"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2.22</w:t>
            </w:r>
          </w:p>
        </w:tc>
        <w:tc>
          <w:tcPr>
            <w:tcW w:w="350"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0</w:t>
            </w:r>
          </w:p>
        </w:tc>
        <w:tc>
          <w:tcPr>
            <w:tcW w:w="350"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0</w:t>
            </w:r>
          </w:p>
        </w:tc>
        <w:tc>
          <w:tcPr>
            <w:tcW w:w="300"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0</w:t>
            </w:r>
          </w:p>
        </w:tc>
        <w:tc>
          <w:tcPr>
            <w:tcW w:w="350"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-1.85</w:t>
            </w:r>
          </w:p>
        </w:tc>
        <w:tc>
          <w:tcPr>
            <w:tcW w:w="350"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-0.37</w:t>
            </w:r>
          </w:p>
        </w:tc>
        <w:tc>
          <w:tcPr>
            <w:tcW w:w="351"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-2.22</w:t>
            </w:r>
          </w:p>
        </w:tc>
        <w:tc>
          <w:tcPr>
            <w:tcW w:w="1411" w:type="pct"/>
            <w:tcBorders>
              <w:top w:val="nil"/>
              <w:left w:val="nil"/>
              <w:bottom w:val="single" w:color="auto" w:sz="8" w:space="0"/>
              <w:right w:val="single" w:color="auto" w:sz="8" w:space="0"/>
            </w:tcBorders>
            <w:shd w:val="clear" w:color="auto" w:fill="auto"/>
            <w:noWrap w:val="0"/>
            <w:vAlign w:val="center"/>
          </w:tcPr>
          <w:p>
            <w:pPr>
              <w:pStyle w:val="16"/>
              <w:rPr>
                <w:color w:val="auto"/>
              </w:rPr>
            </w:pPr>
            <w:r>
              <w:rPr>
                <w:color w:val="auto"/>
              </w:rPr>
              <w:t>项目产生弃渣均用于G320线普安江西坡至三板桥段改扩建工程项目建设回填，未设置弃渣场</w:t>
            </w:r>
          </w:p>
        </w:tc>
      </w:tr>
      <w:tr>
        <w:tblPrEx>
          <w:tblCellMar>
            <w:top w:w="0" w:type="dxa"/>
            <w:left w:w="108" w:type="dxa"/>
            <w:bottom w:w="0" w:type="dxa"/>
            <w:right w:w="108" w:type="dxa"/>
          </w:tblCellMar>
        </w:tblPrEx>
        <w:trPr>
          <w:trHeight w:val="1253" w:hRule="atLeast"/>
        </w:trPr>
        <w:tc>
          <w:tcPr>
            <w:tcW w:w="488" w:type="pct"/>
            <w:tcBorders>
              <w:top w:val="single" w:color="auto" w:sz="8" w:space="0"/>
              <w:left w:val="single" w:color="auto" w:sz="8" w:space="0"/>
              <w:bottom w:val="single" w:color="auto" w:sz="8" w:space="0"/>
              <w:right w:val="single" w:color="000000" w:sz="8" w:space="0"/>
            </w:tcBorders>
            <w:shd w:val="clear" w:color="auto" w:fill="auto"/>
            <w:noWrap w:val="0"/>
            <w:vAlign w:val="center"/>
          </w:tcPr>
          <w:p>
            <w:pPr>
              <w:pStyle w:val="16"/>
              <w:rPr>
                <w:color w:val="auto"/>
              </w:rPr>
            </w:pPr>
            <w:r>
              <w:rPr>
                <w:color w:val="auto"/>
              </w:rPr>
              <w:t>附属工程区</w:t>
            </w:r>
          </w:p>
        </w:tc>
        <w:tc>
          <w:tcPr>
            <w:tcW w:w="350"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0.29</w:t>
            </w:r>
          </w:p>
        </w:tc>
        <w:tc>
          <w:tcPr>
            <w:tcW w:w="350"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0.03</w:t>
            </w:r>
          </w:p>
        </w:tc>
        <w:tc>
          <w:tcPr>
            <w:tcW w:w="350"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0.32</w:t>
            </w:r>
          </w:p>
        </w:tc>
        <w:tc>
          <w:tcPr>
            <w:tcW w:w="350"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0</w:t>
            </w:r>
          </w:p>
        </w:tc>
        <w:tc>
          <w:tcPr>
            <w:tcW w:w="350"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0</w:t>
            </w:r>
          </w:p>
        </w:tc>
        <w:tc>
          <w:tcPr>
            <w:tcW w:w="300"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0</w:t>
            </w:r>
          </w:p>
        </w:tc>
        <w:tc>
          <w:tcPr>
            <w:tcW w:w="350"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-0.29</w:t>
            </w:r>
          </w:p>
        </w:tc>
        <w:tc>
          <w:tcPr>
            <w:tcW w:w="350"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-0.03</w:t>
            </w:r>
          </w:p>
        </w:tc>
        <w:tc>
          <w:tcPr>
            <w:tcW w:w="351"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-0.32</w:t>
            </w:r>
          </w:p>
        </w:tc>
        <w:tc>
          <w:tcPr>
            <w:tcW w:w="1411" w:type="pct"/>
            <w:tcBorders>
              <w:top w:val="nil"/>
              <w:left w:val="nil"/>
              <w:bottom w:val="single" w:color="auto" w:sz="8" w:space="0"/>
              <w:right w:val="single" w:color="auto" w:sz="8" w:space="0"/>
            </w:tcBorders>
            <w:shd w:val="clear" w:color="auto" w:fill="auto"/>
            <w:noWrap w:val="0"/>
            <w:vAlign w:val="center"/>
          </w:tcPr>
          <w:p>
            <w:pPr>
              <w:pStyle w:val="16"/>
              <w:rPr>
                <w:color w:val="auto"/>
              </w:rPr>
            </w:pPr>
            <w:r>
              <w:rPr>
                <w:color w:val="auto"/>
              </w:rPr>
              <w:t>根据建设单位提供资料，本项目建设离县城较近，住宿和水电使用方便，临时堆土于路基工程区内，未单独征占地</w:t>
            </w:r>
          </w:p>
        </w:tc>
      </w:tr>
      <w:tr>
        <w:tblPrEx>
          <w:tblCellMar>
            <w:top w:w="0" w:type="dxa"/>
            <w:left w:w="108" w:type="dxa"/>
            <w:bottom w:w="0" w:type="dxa"/>
            <w:right w:w="108" w:type="dxa"/>
          </w:tblCellMar>
        </w:tblPrEx>
        <w:trPr>
          <w:trHeight w:val="300" w:hRule="atLeast"/>
        </w:trPr>
        <w:tc>
          <w:tcPr>
            <w:tcW w:w="488" w:type="pct"/>
            <w:tcBorders>
              <w:top w:val="single" w:color="auto" w:sz="8" w:space="0"/>
              <w:left w:val="single" w:color="auto" w:sz="8" w:space="0"/>
              <w:bottom w:val="single" w:color="auto" w:sz="8" w:space="0"/>
              <w:right w:val="single" w:color="000000" w:sz="8" w:space="0"/>
            </w:tcBorders>
            <w:shd w:val="clear" w:color="auto" w:fill="auto"/>
            <w:noWrap w:val="0"/>
            <w:vAlign w:val="center"/>
          </w:tcPr>
          <w:p>
            <w:pPr>
              <w:pStyle w:val="16"/>
              <w:rPr>
                <w:color w:val="auto"/>
              </w:rPr>
            </w:pPr>
            <w:r>
              <w:rPr>
                <w:color w:val="auto"/>
              </w:rPr>
              <w:t>合计</w:t>
            </w:r>
          </w:p>
        </w:tc>
        <w:tc>
          <w:tcPr>
            <w:tcW w:w="350"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9.11</w:t>
            </w:r>
          </w:p>
        </w:tc>
        <w:tc>
          <w:tcPr>
            <w:tcW w:w="350"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4.64</w:t>
            </w:r>
          </w:p>
        </w:tc>
        <w:tc>
          <w:tcPr>
            <w:tcW w:w="350"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13.75</w:t>
            </w:r>
          </w:p>
        </w:tc>
        <w:tc>
          <w:tcPr>
            <w:tcW w:w="350"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5.43</w:t>
            </w:r>
          </w:p>
        </w:tc>
        <w:tc>
          <w:tcPr>
            <w:tcW w:w="350"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0</w:t>
            </w:r>
          </w:p>
        </w:tc>
        <w:tc>
          <w:tcPr>
            <w:tcW w:w="300"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5.43</w:t>
            </w:r>
          </w:p>
        </w:tc>
        <w:tc>
          <w:tcPr>
            <w:tcW w:w="350"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-3.68</w:t>
            </w:r>
          </w:p>
        </w:tc>
        <w:tc>
          <w:tcPr>
            <w:tcW w:w="350"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-4.64</w:t>
            </w:r>
          </w:p>
        </w:tc>
        <w:tc>
          <w:tcPr>
            <w:tcW w:w="351" w:type="pct"/>
            <w:tcBorders>
              <w:top w:val="nil"/>
              <w:left w:val="nil"/>
              <w:bottom w:val="single" w:color="auto" w:sz="8" w:space="0"/>
              <w:right w:val="single" w:color="auto" w:sz="8" w:space="0"/>
            </w:tcBorders>
            <w:shd w:val="clear" w:color="auto" w:fill="auto"/>
            <w:noWrap w:val="0"/>
            <w:vAlign w:val="center"/>
          </w:tcPr>
          <w:p>
            <w:pPr>
              <w:pStyle w:val="16"/>
              <w:rPr>
                <w:rFonts w:eastAsia="等线"/>
                <w:color w:val="auto"/>
              </w:rPr>
            </w:pPr>
            <w:r>
              <w:rPr>
                <w:rFonts w:eastAsia="等线"/>
                <w:color w:val="auto"/>
              </w:rPr>
              <w:t>-8.32</w:t>
            </w:r>
          </w:p>
        </w:tc>
        <w:tc>
          <w:tcPr>
            <w:tcW w:w="1411" w:type="pct"/>
            <w:tcBorders>
              <w:top w:val="nil"/>
              <w:left w:val="nil"/>
              <w:bottom w:val="single" w:color="auto" w:sz="8" w:space="0"/>
              <w:right w:val="single" w:color="auto" w:sz="8" w:space="0"/>
            </w:tcBorders>
            <w:shd w:val="clear" w:color="auto" w:fill="auto"/>
            <w:noWrap w:val="0"/>
            <w:vAlign w:val="center"/>
          </w:tcPr>
          <w:p>
            <w:pPr>
              <w:pStyle w:val="16"/>
              <w:rPr>
                <w:color w:val="auto"/>
              </w:rPr>
            </w:pPr>
            <w:r>
              <w:rPr>
                <w:color w:val="auto"/>
              </w:rPr>
              <w:t>　</w:t>
            </w:r>
          </w:p>
        </w:tc>
      </w:tr>
    </w:tbl>
    <w:p>
      <w:pPr>
        <w:rPr>
          <w:rFonts w:hint="eastAsia"/>
          <w:color w:val="auto"/>
          <w:lang w:eastAsia="zh-CN"/>
        </w:rPr>
        <w:sectPr>
          <w:pgSz w:w="16838" w:h="11906" w:orient="landscape"/>
          <w:pgMar w:top="720" w:right="720" w:bottom="720" w:left="72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color w:val="auto"/>
          <w:lang w:eastAsia="zh-CN"/>
        </w:rPr>
        <w:t>注：“</w:t>
      </w:r>
      <w:r>
        <w:rPr>
          <w:rFonts w:hint="eastAsia"/>
          <w:color w:val="auto"/>
          <w:lang w:val="en-US" w:eastAsia="zh-CN"/>
        </w:rPr>
        <w:t>+</w:t>
      </w:r>
      <w:r>
        <w:rPr>
          <w:rFonts w:hint="eastAsia"/>
          <w:color w:val="auto"/>
          <w:lang w:eastAsia="zh-CN"/>
        </w:rPr>
        <w:t>”为增加，“</w:t>
      </w:r>
      <w:r>
        <w:rPr>
          <w:rFonts w:hint="eastAsia"/>
          <w:color w:val="auto"/>
          <w:lang w:val="en-US" w:eastAsia="zh-CN"/>
        </w:rPr>
        <w:t>-</w:t>
      </w:r>
      <w:r>
        <w:rPr>
          <w:rFonts w:hint="eastAsia"/>
          <w:color w:val="auto"/>
          <w:lang w:eastAsia="zh-CN"/>
        </w:rPr>
        <w:t>”为减少。</w:t>
      </w:r>
    </w:p>
    <w:p>
      <w:pPr>
        <w:pStyle w:val="4"/>
        <w:rPr>
          <w:rFonts w:hint="default"/>
          <w:color w:val="auto"/>
        </w:rPr>
      </w:pPr>
      <w:r>
        <w:rPr>
          <w:rFonts w:hint="default"/>
          <w:color w:val="auto"/>
        </w:rPr>
        <w:t>3.1.</w:t>
      </w:r>
      <w:r>
        <w:rPr>
          <w:rFonts w:hint="eastAsia"/>
          <w:color w:val="auto"/>
          <w:lang w:val="en-US" w:eastAsia="zh-CN"/>
        </w:rPr>
        <w:t>3</w:t>
      </w:r>
      <w:r>
        <w:rPr>
          <w:rFonts w:hint="default"/>
          <w:color w:val="auto"/>
        </w:rPr>
        <w:t>建设期扰动土地面积</w:t>
      </w:r>
    </w:p>
    <w:p>
      <w:pPr>
        <w:rPr>
          <w:rFonts w:hint="default" w:ascii="Times New Roman" w:hAnsi="Times New Roman" w:eastAsia="仿宋_GB2312" w:cs="Times New Roman"/>
          <w:color w:val="auto"/>
          <w:spacing w:val="0"/>
          <w:sz w:val="24"/>
          <w:szCs w:val="28"/>
        </w:rPr>
      </w:pPr>
      <w:r>
        <w:rPr>
          <w:color w:val="auto"/>
        </w:rPr>
        <w:t>经过对项目的跟踪巡查，利用 1：2000 的地形图对地表扰动情况及各种扰动类型的占地情况进行现场勾绘，结合业主提供的工程进展资料统计分析，得出本项目的施工扰动情况。监测结果显示，截止20</w:t>
      </w:r>
      <w:r>
        <w:rPr>
          <w:rFonts w:hint="eastAsia"/>
          <w:color w:val="auto"/>
          <w:lang w:val="en-US" w:eastAsia="zh-CN"/>
        </w:rPr>
        <w:t>20</w:t>
      </w:r>
      <w:r>
        <w:rPr>
          <w:color w:val="auto"/>
        </w:rPr>
        <w:t>年底，</w:t>
      </w:r>
      <w:r>
        <w:rPr>
          <w:rFonts w:hint="eastAsia"/>
          <w:color w:val="auto"/>
          <w:lang w:eastAsia="zh-CN"/>
        </w:rPr>
        <w:t>项目区已全部扰动，扰动面积为</w:t>
      </w:r>
      <w:r>
        <w:rPr>
          <w:rFonts w:hint="eastAsia"/>
          <w:color w:val="auto"/>
          <w:lang w:val="en-US" w:eastAsia="zh-CN"/>
        </w:rPr>
        <w:t>5.43hm</w:t>
      </w:r>
      <w:r>
        <w:rPr>
          <w:rFonts w:hint="eastAsia"/>
          <w:color w:val="auto"/>
          <w:vertAlign w:val="superscript"/>
          <w:lang w:val="en-US" w:eastAsia="zh-CN"/>
        </w:rPr>
        <w:t>2</w:t>
      </w:r>
      <w:r>
        <w:rPr>
          <w:rFonts w:hint="eastAsia"/>
          <w:color w:val="auto"/>
          <w:lang w:val="en-US" w:eastAsia="zh-CN"/>
        </w:rPr>
        <w:t>，地表扰动率为59.60%</w:t>
      </w:r>
      <w:r>
        <w:rPr>
          <w:color w:val="auto"/>
          <w:spacing w:val="3"/>
        </w:rPr>
        <w:t>。</w:t>
      </w:r>
      <w:r>
        <w:rPr>
          <w:rFonts w:hint="default" w:ascii="Times New Roman" w:hAnsi="Times New Roman" w:eastAsia="仿宋_GB2312" w:cs="Times New Roman"/>
          <w:color w:val="auto"/>
          <w:spacing w:val="0"/>
          <w:sz w:val="24"/>
        </w:rPr>
        <w:t>项目建设期实际扰动地表面积</w:t>
      </w:r>
      <w:r>
        <w:rPr>
          <w:rFonts w:hint="eastAsia" w:cs="Times New Roman"/>
          <w:color w:val="auto"/>
          <w:spacing w:val="0"/>
          <w:sz w:val="24"/>
          <w:lang w:eastAsia="zh-CN"/>
        </w:rPr>
        <w:t>年度统计</w:t>
      </w:r>
      <w:r>
        <w:rPr>
          <w:rFonts w:hint="default" w:ascii="Times New Roman" w:hAnsi="Times New Roman" w:eastAsia="仿宋_GB2312" w:cs="Times New Roman"/>
          <w:color w:val="auto"/>
          <w:spacing w:val="0"/>
          <w:sz w:val="24"/>
        </w:rPr>
        <w:t>详见表3-</w:t>
      </w:r>
      <w:r>
        <w:rPr>
          <w:rFonts w:hint="eastAsia" w:cs="Times New Roman"/>
          <w:color w:val="auto"/>
          <w:spacing w:val="0"/>
          <w:sz w:val="24"/>
          <w:lang w:val="en-US" w:eastAsia="zh-CN"/>
        </w:rPr>
        <w:t>3</w:t>
      </w:r>
      <w:r>
        <w:rPr>
          <w:rFonts w:hint="default" w:ascii="Times New Roman" w:hAnsi="Times New Roman" w:eastAsia="仿宋_GB2312" w:cs="Times New Roman"/>
          <w:color w:val="auto"/>
          <w:spacing w:val="0"/>
          <w:sz w:val="24"/>
        </w:rPr>
        <w:t>。</w:t>
      </w:r>
    </w:p>
    <w:p>
      <w:pPr>
        <w:pStyle w:val="17"/>
        <w:rPr>
          <w:rFonts w:hint="eastAsia"/>
          <w:color w:val="auto"/>
          <w:lang w:eastAsia="zh-CN"/>
        </w:rPr>
      </w:pPr>
      <w:r>
        <w:rPr>
          <w:rFonts w:hint="default"/>
          <w:color w:val="auto"/>
        </w:rPr>
        <w:t>表3-3       项目建设区实际扰动地表面积</w:t>
      </w:r>
      <w:r>
        <w:rPr>
          <w:rFonts w:hint="eastAsia"/>
          <w:color w:val="auto"/>
          <w:lang w:eastAsia="zh-CN"/>
        </w:rPr>
        <w:t>年度</w:t>
      </w:r>
      <w:r>
        <w:rPr>
          <w:rFonts w:hint="default"/>
          <w:color w:val="auto"/>
        </w:rPr>
        <w:t>统计表       单位：h</w:t>
      </w:r>
      <w:r>
        <w:rPr>
          <w:rFonts w:hint="eastAsia"/>
          <w:color w:val="auto"/>
          <w:lang w:eastAsia="zh-CN"/>
        </w:rPr>
        <w:t>m</w:t>
      </w:r>
      <w:r>
        <w:rPr>
          <w:rFonts w:hint="eastAsia"/>
          <w:color w:val="auto"/>
          <w:vertAlign w:val="superscript"/>
          <w:lang w:val="en-US" w:eastAsia="zh-CN"/>
        </w:rPr>
        <w:t>2</w:t>
      </w:r>
    </w:p>
    <w:tbl>
      <w:tblPr>
        <w:tblStyle w:val="11"/>
        <w:tblW w:w="833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0" w:type="dxa"/>
          <w:bottom w:w="0" w:type="dxa"/>
          <w:right w:w="0" w:type="dxa"/>
        </w:tblCellMar>
      </w:tblPr>
      <w:tblGrid>
        <w:gridCol w:w="1667"/>
        <w:gridCol w:w="1667"/>
        <w:gridCol w:w="1668"/>
        <w:gridCol w:w="1667"/>
        <w:gridCol w:w="166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283" w:hRule="atLeast"/>
        </w:trPr>
        <w:tc>
          <w:tcPr>
            <w:tcW w:w="1667" w:type="dxa"/>
            <w:tcBorders>
              <w:tl2br w:val="nil"/>
              <w:tr2bl w:val="nil"/>
            </w:tcBorders>
            <w:shd w:val="clear" w:color="auto" w:fill="auto"/>
            <w:tcMar>
              <w:top w:w="15" w:type="dxa"/>
              <w:left w:w="15" w:type="dxa"/>
              <w:right w:w="15" w:type="dxa"/>
            </w:tcMar>
            <w:vAlign w:val="center"/>
          </w:tcPr>
          <w:p>
            <w:pPr>
              <w:pStyle w:val="16"/>
              <w:rPr>
                <w:rFonts w:hint="default"/>
                <w:color w:val="auto"/>
              </w:rPr>
            </w:pPr>
            <w:bookmarkStart w:id="111" w:name="_Toc371174608"/>
            <w:bookmarkStart w:id="112" w:name="_Toc400530777"/>
            <w:bookmarkStart w:id="113" w:name="_Toc400529676"/>
            <w:r>
              <w:rPr>
                <w:rFonts w:hint="default"/>
                <w:color w:val="auto"/>
                <w:lang w:val="en-US" w:eastAsia="zh-CN"/>
              </w:rPr>
              <w:t>年度</w:t>
            </w:r>
          </w:p>
        </w:tc>
        <w:tc>
          <w:tcPr>
            <w:tcW w:w="1667" w:type="dxa"/>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监测面积（hm</w:t>
            </w:r>
            <w:r>
              <w:rPr>
                <w:rFonts w:hint="eastAsia"/>
                <w:color w:val="auto"/>
                <w:vertAlign w:val="superscript"/>
                <w:lang w:val="en-US" w:eastAsia="zh-CN"/>
              </w:rPr>
              <w:t>2</w:t>
            </w:r>
            <w:r>
              <w:rPr>
                <w:rFonts w:hint="default"/>
                <w:color w:val="auto"/>
                <w:lang w:val="en-US" w:eastAsia="zh-CN"/>
              </w:rPr>
              <w:t>）</w:t>
            </w:r>
          </w:p>
        </w:tc>
        <w:tc>
          <w:tcPr>
            <w:tcW w:w="1668" w:type="dxa"/>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扰动面积（hm</w:t>
            </w:r>
            <w:r>
              <w:rPr>
                <w:rFonts w:hint="eastAsia"/>
                <w:color w:val="auto"/>
                <w:vertAlign w:val="superscript"/>
                <w:lang w:val="en-US" w:eastAsia="zh-CN"/>
              </w:rPr>
              <w:t>2</w:t>
            </w:r>
            <w:r>
              <w:rPr>
                <w:rFonts w:hint="default"/>
                <w:color w:val="auto"/>
                <w:lang w:val="en-US" w:eastAsia="zh-CN"/>
              </w:rPr>
              <w:t>）</w:t>
            </w:r>
          </w:p>
        </w:tc>
        <w:tc>
          <w:tcPr>
            <w:tcW w:w="1667" w:type="dxa"/>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未扰动面积（hm</w:t>
            </w:r>
            <w:r>
              <w:rPr>
                <w:rFonts w:hint="eastAsia"/>
                <w:color w:val="auto"/>
                <w:vertAlign w:val="superscript"/>
                <w:lang w:val="en-US" w:eastAsia="zh-CN"/>
              </w:rPr>
              <w:t>2</w:t>
            </w:r>
            <w:r>
              <w:rPr>
                <w:rFonts w:hint="default"/>
                <w:color w:val="auto"/>
                <w:lang w:val="en-US" w:eastAsia="zh-CN"/>
              </w:rPr>
              <w:t>）</w:t>
            </w:r>
          </w:p>
        </w:tc>
        <w:tc>
          <w:tcPr>
            <w:tcW w:w="1667" w:type="dxa"/>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地表扰动率（%</w:t>
            </w:r>
            <w:r>
              <w:rPr>
                <w:color w:val="auto"/>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trPr>
        <w:tc>
          <w:tcPr>
            <w:tcW w:w="1667" w:type="dxa"/>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201</w:t>
            </w:r>
            <w:r>
              <w:rPr>
                <w:rFonts w:hint="eastAsia"/>
                <w:color w:val="auto"/>
                <w:lang w:val="en-US" w:eastAsia="zh-CN"/>
              </w:rPr>
              <w:t>6</w:t>
            </w:r>
            <w:r>
              <w:rPr>
                <w:rFonts w:hint="default"/>
                <w:color w:val="auto"/>
                <w:lang w:val="en-US" w:eastAsia="zh-CN"/>
              </w:rPr>
              <w:t xml:space="preserve"> </w:t>
            </w:r>
            <w:r>
              <w:rPr>
                <w:color w:val="auto"/>
                <w:lang w:val="en-US" w:eastAsia="zh-CN"/>
              </w:rPr>
              <w:t>年1</w:t>
            </w:r>
            <w:r>
              <w:rPr>
                <w:rFonts w:hint="eastAsia"/>
                <w:color w:val="auto"/>
                <w:lang w:val="en-US" w:eastAsia="zh-CN"/>
              </w:rPr>
              <w:t>0</w:t>
            </w:r>
            <w:r>
              <w:rPr>
                <w:color w:val="auto"/>
                <w:lang w:val="en-US" w:eastAsia="zh-CN"/>
              </w:rPr>
              <w:t xml:space="preserve"> 月</w:t>
            </w:r>
          </w:p>
        </w:tc>
        <w:tc>
          <w:tcPr>
            <w:tcW w:w="1667" w:type="dxa"/>
            <w:tcBorders>
              <w:tl2br w:val="nil"/>
              <w:tr2bl w:val="nil"/>
            </w:tcBorders>
            <w:shd w:val="clear" w:color="auto" w:fill="auto"/>
            <w:tcMar>
              <w:top w:w="15" w:type="dxa"/>
              <w:left w:w="15" w:type="dxa"/>
              <w:right w:w="15" w:type="dxa"/>
            </w:tcMar>
            <w:vAlign w:val="center"/>
          </w:tcPr>
          <w:p>
            <w:pPr>
              <w:pStyle w:val="16"/>
              <w:rPr>
                <w:rFonts w:hint="default"/>
                <w:color w:val="auto"/>
                <w:lang w:val="en-US"/>
              </w:rPr>
            </w:pPr>
            <w:r>
              <w:rPr>
                <w:rFonts w:hint="eastAsia"/>
                <w:color w:val="auto"/>
                <w:lang w:val="en-US" w:eastAsia="zh-CN"/>
              </w:rPr>
              <w:t>9.11</w:t>
            </w:r>
          </w:p>
        </w:tc>
        <w:tc>
          <w:tcPr>
            <w:tcW w:w="1668" w:type="dxa"/>
            <w:tcBorders>
              <w:tl2br w:val="nil"/>
              <w:tr2bl w:val="nil"/>
            </w:tcBorders>
            <w:shd w:val="clear" w:color="auto" w:fill="auto"/>
            <w:tcMar>
              <w:top w:w="15" w:type="dxa"/>
              <w:left w:w="15" w:type="dxa"/>
              <w:right w:w="15" w:type="dxa"/>
            </w:tcMar>
            <w:vAlign w:val="center"/>
          </w:tcPr>
          <w:p>
            <w:pPr>
              <w:pStyle w:val="16"/>
              <w:rPr>
                <w:rFonts w:hint="default"/>
                <w:color w:val="auto"/>
                <w:lang w:val="en-US"/>
              </w:rPr>
            </w:pPr>
            <w:r>
              <w:rPr>
                <w:rFonts w:hint="eastAsia"/>
                <w:color w:val="auto"/>
                <w:lang w:val="en-US" w:eastAsia="zh-CN"/>
              </w:rPr>
              <w:t>5.43</w:t>
            </w:r>
          </w:p>
        </w:tc>
        <w:tc>
          <w:tcPr>
            <w:tcW w:w="1667" w:type="dxa"/>
            <w:tcBorders>
              <w:tl2br w:val="nil"/>
              <w:tr2bl w:val="nil"/>
            </w:tcBorders>
            <w:shd w:val="clear" w:color="auto" w:fill="auto"/>
            <w:tcMar>
              <w:top w:w="15" w:type="dxa"/>
              <w:left w:w="15" w:type="dxa"/>
              <w:right w:w="15" w:type="dxa"/>
            </w:tcMar>
            <w:vAlign w:val="center"/>
          </w:tcPr>
          <w:p>
            <w:pPr>
              <w:pStyle w:val="16"/>
              <w:rPr>
                <w:rFonts w:hint="default"/>
                <w:color w:val="auto"/>
                <w:lang w:val="en-US"/>
              </w:rPr>
            </w:pPr>
            <w:r>
              <w:rPr>
                <w:rFonts w:hint="eastAsia"/>
                <w:color w:val="auto"/>
                <w:lang w:val="en-US" w:eastAsia="zh-CN"/>
              </w:rPr>
              <w:t>3.68</w:t>
            </w:r>
          </w:p>
        </w:tc>
        <w:tc>
          <w:tcPr>
            <w:tcW w:w="1667"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59.60%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trPr>
        <w:tc>
          <w:tcPr>
            <w:tcW w:w="1667" w:type="dxa"/>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合计</w:t>
            </w:r>
          </w:p>
        </w:tc>
        <w:tc>
          <w:tcPr>
            <w:tcW w:w="1667"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9.11</w:t>
            </w:r>
          </w:p>
        </w:tc>
        <w:tc>
          <w:tcPr>
            <w:tcW w:w="1668"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5.43</w:t>
            </w:r>
          </w:p>
        </w:tc>
        <w:tc>
          <w:tcPr>
            <w:tcW w:w="1667"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3.68</w:t>
            </w:r>
          </w:p>
        </w:tc>
        <w:tc>
          <w:tcPr>
            <w:tcW w:w="1667"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59.60%</w:t>
            </w:r>
          </w:p>
        </w:tc>
      </w:tr>
    </w:tbl>
    <w:p>
      <w:pPr>
        <w:ind w:left="0" w:leftChars="0" w:firstLine="0" w:firstLineChars="0"/>
        <w:rPr>
          <w:rFonts w:hint="default" w:ascii="Times New Roman" w:hAnsi="Times New Roman" w:eastAsia="仿宋_GB2312" w:cs="Times New Roman"/>
          <w:color w:val="auto"/>
          <w:spacing w:val="0"/>
          <w:sz w:val="24"/>
        </w:rPr>
      </w:pPr>
    </w:p>
    <w:p>
      <w:pPr>
        <w:pStyle w:val="3"/>
        <w:rPr>
          <w:rFonts w:hint="default"/>
          <w:color w:val="auto"/>
        </w:rPr>
      </w:pPr>
      <w:bookmarkStart w:id="114" w:name="_Toc27792"/>
      <w:r>
        <w:rPr>
          <w:rFonts w:hint="default"/>
          <w:color w:val="auto"/>
        </w:rPr>
        <w:t>3.2取土（石）监测结果</w:t>
      </w:r>
      <w:bookmarkEnd w:id="111"/>
      <w:bookmarkEnd w:id="112"/>
      <w:bookmarkEnd w:id="113"/>
      <w:bookmarkEnd w:id="114"/>
    </w:p>
    <w:p>
      <w:pPr>
        <w:rPr>
          <w:rFonts w:hint="eastAsia" w:ascii="Times New Roman" w:hAnsi="Times New Roman" w:eastAsia="仿宋_GB2312"/>
          <w:color w:val="auto"/>
          <w:kern w:val="44"/>
          <w:sz w:val="24"/>
          <w:szCs w:val="24"/>
        </w:rPr>
      </w:pPr>
      <w:r>
        <w:rPr>
          <w:rFonts w:hint="eastAsia"/>
          <w:color w:val="auto"/>
        </w:rPr>
        <w:t>根据水土保持方案，本项目方案设计</w:t>
      </w:r>
      <w:r>
        <w:rPr>
          <w:color w:val="auto"/>
        </w:rPr>
        <w:t>1</w:t>
      </w:r>
      <w:r>
        <w:rPr>
          <w:rFonts w:hint="eastAsia"/>
          <w:color w:val="auto"/>
        </w:rPr>
        <w:t>个弃渣场，占地面积为</w:t>
      </w:r>
      <w:r>
        <w:rPr>
          <w:color w:val="auto"/>
        </w:rPr>
        <w:t>1.85</w:t>
      </w:r>
      <w:r>
        <w:rPr>
          <w:rFonts w:hint="eastAsia"/>
          <w:color w:val="auto"/>
        </w:rPr>
        <w:t>hm</w:t>
      </w:r>
      <w:r>
        <w:rPr>
          <w:rFonts w:hint="eastAsia"/>
          <w:color w:val="auto"/>
          <w:vertAlign w:val="superscript"/>
        </w:rPr>
        <w:t>2</w:t>
      </w:r>
      <w:r>
        <w:rPr>
          <w:rFonts w:hint="eastAsia"/>
          <w:color w:val="auto"/>
        </w:rPr>
        <w:t>，弃渣量</w:t>
      </w:r>
      <w:r>
        <w:rPr>
          <w:color w:val="auto"/>
        </w:rPr>
        <w:t>为</w:t>
      </w:r>
      <w:r>
        <w:rPr>
          <w:rFonts w:hint="eastAsia"/>
          <w:color w:val="auto"/>
        </w:rPr>
        <w:t>19.</w:t>
      </w:r>
      <w:r>
        <w:rPr>
          <w:color w:val="auto"/>
        </w:rPr>
        <w:t>73</w:t>
      </w:r>
      <w:r>
        <w:rPr>
          <w:rFonts w:hint="eastAsia"/>
          <w:color w:val="auto"/>
        </w:rPr>
        <w:t>万m</w:t>
      </w:r>
      <w:r>
        <w:rPr>
          <w:rFonts w:hint="eastAsia"/>
          <w:color w:val="auto"/>
          <w:vertAlign w:val="superscript"/>
        </w:rPr>
        <w:t>3</w:t>
      </w:r>
      <w:r>
        <w:rPr>
          <w:rFonts w:hint="eastAsia"/>
          <w:color w:val="auto"/>
        </w:rPr>
        <w:t>；根据</w:t>
      </w:r>
      <w:r>
        <w:rPr>
          <w:color w:val="auto"/>
        </w:rPr>
        <w:t>建设单位提供资料，</w:t>
      </w:r>
      <w:r>
        <w:rPr>
          <w:rFonts w:hint="eastAsia"/>
          <w:color w:val="auto"/>
        </w:rPr>
        <w:t>本项目实际开挖土石方量</w:t>
      </w:r>
      <w:r>
        <w:rPr>
          <w:color w:val="auto"/>
        </w:rPr>
        <w:t>18.56</w:t>
      </w:r>
      <w:r>
        <w:rPr>
          <w:rFonts w:hint="eastAsia"/>
          <w:color w:val="auto"/>
        </w:rPr>
        <w:t>万m</w:t>
      </w:r>
      <w:r>
        <w:rPr>
          <w:rFonts w:hint="eastAsia"/>
          <w:color w:val="auto"/>
          <w:vertAlign w:val="superscript"/>
        </w:rPr>
        <w:t>3</w:t>
      </w:r>
      <w:r>
        <w:rPr>
          <w:rFonts w:hint="eastAsia"/>
          <w:color w:val="auto"/>
        </w:rPr>
        <w:t>，回填土石方量</w:t>
      </w:r>
      <w:r>
        <w:rPr>
          <w:color w:val="auto"/>
        </w:rPr>
        <w:t>9.66</w:t>
      </w:r>
      <w:r>
        <w:rPr>
          <w:rFonts w:hint="eastAsia"/>
          <w:color w:val="auto"/>
        </w:rPr>
        <w:t>万m</w:t>
      </w:r>
      <w:r>
        <w:rPr>
          <w:rFonts w:hint="eastAsia"/>
          <w:color w:val="auto"/>
          <w:vertAlign w:val="superscript"/>
        </w:rPr>
        <w:t>3</w:t>
      </w:r>
      <w:r>
        <w:rPr>
          <w:rFonts w:hint="eastAsia"/>
          <w:color w:val="auto"/>
        </w:rPr>
        <w:t>，</w:t>
      </w:r>
      <w:r>
        <w:rPr>
          <w:rFonts w:hint="eastAsia"/>
          <w:bCs/>
          <w:color w:val="auto"/>
        </w:rPr>
        <w:t>G320线普安江西坡至三板桥段改扩建工程建设</w:t>
      </w:r>
      <w:r>
        <w:rPr>
          <w:bCs/>
          <w:color w:val="auto"/>
        </w:rPr>
        <w:t>借用</w:t>
      </w:r>
      <w:r>
        <w:rPr>
          <w:color w:val="auto"/>
        </w:rPr>
        <w:t>8.90</w:t>
      </w:r>
      <w:r>
        <w:rPr>
          <w:rFonts w:hint="eastAsia"/>
          <w:color w:val="auto"/>
        </w:rPr>
        <w:t>万m</w:t>
      </w:r>
      <w:r>
        <w:rPr>
          <w:rFonts w:hint="eastAsia"/>
          <w:color w:val="auto"/>
          <w:vertAlign w:val="superscript"/>
        </w:rPr>
        <w:t>3</w:t>
      </w:r>
      <w:r>
        <w:rPr>
          <w:rFonts w:hint="eastAsia"/>
          <w:color w:val="auto"/>
        </w:rPr>
        <w:t>用于</w:t>
      </w:r>
      <w:r>
        <w:rPr>
          <w:color w:val="auto"/>
        </w:rPr>
        <w:t>项目回填</w:t>
      </w:r>
      <w:r>
        <w:rPr>
          <w:rFonts w:hint="eastAsia"/>
          <w:color w:val="auto"/>
        </w:rPr>
        <w:t>，无废弃</w:t>
      </w:r>
      <w:r>
        <w:rPr>
          <w:color w:val="auto"/>
        </w:rPr>
        <w:t>土石方</w:t>
      </w:r>
      <w:r>
        <w:rPr>
          <w:rFonts w:hint="eastAsia"/>
          <w:color w:val="auto"/>
        </w:rPr>
        <w:t>。</w:t>
      </w:r>
    </w:p>
    <w:p>
      <w:pPr>
        <w:pStyle w:val="3"/>
        <w:rPr>
          <w:rFonts w:hint="eastAsia"/>
          <w:color w:val="auto"/>
          <w:sz w:val="24"/>
          <w:szCs w:val="24"/>
          <w:lang w:val="en-US" w:eastAsia="zh-CN"/>
        </w:rPr>
      </w:pPr>
      <w:bookmarkStart w:id="115" w:name="_Toc400530778"/>
      <w:bookmarkStart w:id="116" w:name="_Toc371174609"/>
      <w:bookmarkStart w:id="117" w:name="_Toc400529677"/>
      <w:bookmarkStart w:id="118" w:name="_Toc9543"/>
      <w:r>
        <w:rPr>
          <w:rFonts w:hint="default"/>
          <w:color w:val="auto"/>
        </w:rPr>
        <w:t>3.3弃土监测结果</w:t>
      </w:r>
      <w:bookmarkEnd w:id="115"/>
      <w:bookmarkEnd w:id="116"/>
      <w:bookmarkEnd w:id="117"/>
      <w:bookmarkEnd w:id="118"/>
      <w:bookmarkStart w:id="119" w:name="_Toc371174612"/>
      <w:bookmarkStart w:id="120" w:name="_Toc400529680"/>
      <w:bookmarkStart w:id="121" w:name="_Toc400530781"/>
    </w:p>
    <w:p>
      <w:pPr>
        <w:keepNext w:val="0"/>
        <w:keepLines w:val="0"/>
        <w:pageBreakBefore w:val="0"/>
        <w:widowControl w:val="0"/>
        <w:kinsoku/>
        <w:wordWrap/>
        <w:overflowPunct/>
        <w:topLinePunct/>
        <w:autoSpaceDE/>
        <w:autoSpaceDN/>
        <w:bidi w:val="0"/>
        <w:adjustRightInd w:val="0"/>
        <w:snapToGrid w:val="0"/>
        <w:spacing w:before="157" w:beforeLines="50" w:after="157" w:afterLines="50" w:line="360" w:lineRule="auto"/>
        <w:ind w:left="0" w:leftChars="0" w:right="0" w:rightChars="0" w:firstLine="480" w:firstLineChars="200"/>
        <w:jc w:val="both"/>
        <w:textAlignment w:val="auto"/>
        <w:outlineLvl w:val="9"/>
        <w:rPr>
          <w:rFonts w:hint="eastAsia"/>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color w:val="auto"/>
          <w:kern w:val="44"/>
        </w:rPr>
        <w:t>根据本项目水土保持方案和</w:t>
      </w:r>
      <w:r>
        <w:rPr>
          <w:color w:val="auto"/>
          <w:kern w:val="44"/>
        </w:rPr>
        <w:t>建设单位提供资料</w:t>
      </w:r>
      <w:r>
        <w:rPr>
          <w:rFonts w:hint="eastAsia"/>
          <w:color w:val="auto"/>
          <w:kern w:val="44"/>
        </w:rPr>
        <w:t>，本项目建设使用建筑</w:t>
      </w:r>
      <w:r>
        <w:rPr>
          <w:color w:val="auto"/>
          <w:kern w:val="44"/>
        </w:rPr>
        <w:t>材料均</w:t>
      </w:r>
      <w:r>
        <w:rPr>
          <w:rFonts w:hint="eastAsia"/>
          <w:color w:val="auto"/>
          <w:kern w:val="44"/>
        </w:rPr>
        <w:t>从普安</w:t>
      </w:r>
      <w:r>
        <w:rPr>
          <w:color w:val="auto"/>
          <w:kern w:val="44"/>
        </w:rPr>
        <w:t>县</w:t>
      </w:r>
      <w:r>
        <w:rPr>
          <w:rFonts w:hint="eastAsia"/>
          <w:color w:val="auto"/>
          <w:kern w:val="44"/>
        </w:rPr>
        <w:t>地瓜镇新寨</w:t>
      </w:r>
      <w:r>
        <w:rPr>
          <w:color w:val="auto"/>
          <w:kern w:val="44"/>
        </w:rPr>
        <w:t>砂石厂</w:t>
      </w:r>
      <w:r>
        <w:rPr>
          <w:rFonts w:hint="eastAsia"/>
          <w:color w:val="auto"/>
          <w:kern w:val="44"/>
        </w:rPr>
        <w:t>购买（砂石料</w:t>
      </w:r>
      <w:r>
        <w:rPr>
          <w:color w:val="auto"/>
          <w:kern w:val="44"/>
        </w:rPr>
        <w:t>供应协议</w:t>
      </w:r>
      <w:r>
        <w:rPr>
          <w:rFonts w:hint="eastAsia"/>
          <w:color w:val="auto"/>
          <w:kern w:val="44"/>
        </w:rPr>
        <w:t>见附件）</w:t>
      </w:r>
      <w:r>
        <w:rPr>
          <w:color w:val="auto"/>
          <w:kern w:val="44"/>
        </w:rPr>
        <w:t>，未设置</w:t>
      </w:r>
      <w:r>
        <w:rPr>
          <w:rFonts w:hint="eastAsia"/>
          <w:color w:val="auto"/>
          <w:kern w:val="44"/>
        </w:rPr>
        <w:t>取料场。</w:t>
      </w:r>
    </w:p>
    <w:bookmarkEnd w:id="119"/>
    <w:bookmarkEnd w:id="120"/>
    <w:bookmarkEnd w:id="121"/>
    <w:p>
      <w:pPr>
        <w:pStyle w:val="2"/>
        <w:rPr>
          <w:rFonts w:hint="default"/>
          <w:color w:val="auto"/>
        </w:rPr>
      </w:pPr>
      <w:bookmarkStart w:id="122" w:name="_Toc400529681"/>
      <w:bookmarkStart w:id="123" w:name="_Toc371174613"/>
      <w:bookmarkStart w:id="124" w:name="_Toc400530782"/>
      <w:bookmarkStart w:id="125" w:name="_Toc18602"/>
      <w:r>
        <w:rPr>
          <w:rFonts w:hint="default"/>
          <w:color w:val="auto"/>
        </w:rPr>
        <w:t>4 水土流失防治措施监测结果</w:t>
      </w:r>
      <w:bookmarkEnd w:id="122"/>
      <w:bookmarkEnd w:id="123"/>
      <w:bookmarkEnd w:id="124"/>
      <w:bookmarkEnd w:id="125"/>
    </w:p>
    <w:p>
      <w:pPr>
        <w:pStyle w:val="3"/>
        <w:rPr>
          <w:rFonts w:hint="default"/>
          <w:color w:val="auto"/>
        </w:rPr>
      </w:pPr>
      <w:bookmarkStart w:id="126" w:name="_Toc400529682"/>
      <w:bookmarkStart w:id="127" w:name="_Toc400530783"/>
      <w:bookmarkStart w:id="128" w:name="_Toc371174614"/>
      <w:bookmarkStart w:id="129" w:name="_Toc30359"/>
      <w:r>
        <w:rPr>
          <w:rFonts w:hint="default"/>
          <w:color w:val="auto"/>
        </w:rPr>
        <w:t>4.1工程措施</w:t>
      </w:r>
      <w:bookmarkEnd w:id="126"/>
      <w:bookmarkEnd w:id="127"/>
      <w:bookmarkEnd w:id="128"/>
      <w:r>
        <w:rPr>
          <w:rFonts w:hint="default"/>
          <w:color w:val="auto"/>
        </w:rPr>
        <w:t>监测结果</w:t>
      </w:r>
      <w:bookmarkEnd w:id="129"/>
    </w:p>
    <w:p>
      <w:pPr>
        <w:rPr>
          <w:rFonts w:hint="eastAsia" w:cs="Times New Roman"/>
          <w:color w:val="auto"/>
          <w:spacing w:val="0"/>
          <w:sz w:val="24"/>
          <w:lang w:eastAsia="zh-CN"/>
        </w:rPr>
      </w:pPr>
      <w:r>
        <w:rPr>
          <w:rFonts w:hint="eastAsia" w:cs="Times New Roman"/>
          <w:color w:val="auto"/>
          <w:spacing w:val="0"/>
          <w:sz w:val="24"/>
          <w:lang w:eastAsia="zh-CN"/>
        </w:rPr>
        <w:t>根据监理资料及现场调查，</w:t>
      </w:r>
      <w:r>
        <w:rPr>
          <w:rFonts w:hint="eastAsia"/>
          <w:color w:val="auto"/>
          <w:lang w:eastAsia="zh-CN"/>
        </w:rPr>
        <w:t>截止20</w:t>
      </w:r>
      <w:r>
        <w:rPr>
          <w:rFonts w:hint="eastAsia"/>
          <w:color w:val="auto"/>
          <w:lang w:val="en-US" w:eastAsia="zh-CN"/>
        </w:rPr>
        <w:t>20</w:t>
      </w:r>
      <w:r>
        <w:rPr>
          <w:rFonts w:hint="eastAsia"/>
          <w:color w:val="auto"/>
          <w:lang w:eastAsia="zh-CN"/>
        </w:rPr>
        <w:t>年</w:t>
      </w:r>
      <w:r>
        <w:rPr>
          <w:rFonts w:hint="eastAsia"/>
          <w:color w:val="auto"/>
          <w:lang w:val="en-US" w:eastAsia="zh-CN"/>
        </w:rPr>
        <w:t>10</w:t>
      </w:r>
      <w:r>
        <w:rPr>
          <w:rFonts w:hint="eastAsia"/>
          <w:color w:val="auto"/>
          <w:lang w:eastAsia="zh-CN"/>
        </w:rPr>
        <w:t>月，</w:t>
      </w:r>
      <w:r>
        <w:rPr>
          <w:rFonts w:hint="eastAsia" w:cs="Times New Roman"/>
          <w:color w:val="auto"/>
          <w:spacing w:val="0"/>
          <w:sz w:val="24"/>
          <w:lang w:eastAsia="zh-CN"/>
        </w:rPr>
        <w:t>本项目实施的水土保持工程措施如下：</w:t>
      </w:r>
    </w:p>
    <w:p>
      <w:pPr>
        <w:spacing w:after="156"/>
        <w:ind w:firstLine="480"/>
        <w:rPr>
          <w:rFonts w:hint="eastAsia" w:eastAsia="仿宋_GB2312"/>
          <w:color w:val="auto"/>
          <w:lang w:val="zh-CN" w:eastAsia="zh-CN"/>
        </w:rPr>
      </w:pPr>
      <w:r>
        <w:rPr>
          <w:rFonts w:hint="eastAsia"/>
          <w:color w:val="auto"/>
          <w:lang w:eastAsia="zh-CN"/>
        </w:rPr>
        <w:t>工程措施：</w:t>
      </w:r>
      <w:r>
        <w:rPr>
          <w:rFonts w:hint="eastAsia"/>
          <w:color w:val="auto"/>
        </w:rPr>
        <w:t>主体已实施共计道路边沟</w:t>
      </w:r>
      <w:r>
        <w:rPr>
          <w:color w:val="auto"/>
        </w:rPr>
        <w:t>3260m</w:t>
      </w:r>
      <w:r>
        <w:rPr>
          <w:rFonts w:hint="eastAsia"/>
          <w:color w:val="auto"/>
        </w:rPr>
        <w:t>，骨架</w:t>
      </w:r>
      <w:r>
        <w:rPr>
          <w:color w:val="auto"/>
        </w:rPr>
        <w:t>护坡</w:t>
      </w:r>
      <w:r>
        <w:rPr>
          <w:rFonts w:hint="eastAsia"/>
          <w:color w:val="auto"/>
        </w:rPr>
        <w:t>0.65</w:t>
      </w:r>
      <w:r>
        <w:rPr>
          <w:color w:val="auto"/>
        </w:rPr>
        <w:t>hm</w:t>
      </w:r>
      <w:r>
        <w:rPr>
          <w:color w:val="auto"/>
          <w:vertAlign w:val="superscript"/>
        </w:rPr>
        <w:t>2</w:t>
      </w:r>
      <w:r>
        <w:rPr>
          <w:color w:val="auto"/>
        </w:rPr>
        <w:t>，</w:t>
      </w:r>
      <w:r>
        <w:rPr>
          <w:rFonts w:hint="eastAsia"/>
          <w:color w:val="auto"/>
        </w:rPr>
        <w:t>沉砂池</w:t>
      </w:r>
      <w:r>
        <w:rPr>
          <w:color w:val="auto"/>
        </w:rPr>
        <w:t>2</w:t>
      </w:r>
      <w:r>
        <w:rPr>
          <w:rFonts w:hint="eastAsia"/>
          <w:color w:val="auto"/>
        </w:rPr>
        <w:t>口</w:t>
      </w:r>
      <w:r>
        <w:rPr>
          <w:color w:val="auto"/>
        </w:rPr>
        <w:t>，</w:t>
      </w:r>
      <w:r>
        <w:rPr>
          <w:rFonts w:hint="eastAsia"/>
          <w:color w:val="auto"/>
        </w:rPr>
        <w:t>植物槽300</w:t>
      </w:r>
      <w:r>
        <w:rPr>
          <w:color w:val="auto"/>
        </w:rPr>
        <w:t>m，</w:t>
      </w:r>
      <w:r>
        <w:rPr>
          <w:rFonts w:hint="eastAsia"/>
          <w:color w:val="auto"/>
        </w:rPr>
        <w:t>雨水管1250</w:t>
      </w:r>
      <w:r>
        <w:rPr>
          <w:color w:val="auto"/>
        </w:rPr>
        <w:t>m，</w:t>
      </w:r>
      <w:r>
        <w:rPr>
          <w:rFonts w:hint="eastAsia"/>
          <w:color w:val="auto"/>
        </w:rPr>
        <w:t>雨水井</w:t>
      </w:r>
      <w:r>
        <w:rPr>
          <w:color w:val="auto"/>
        </w:rPr>
        <w:t>3</w:t>
      </w:r>
      <w:r>
        <w:rPr>
          <w:rFonts w:hint="eastAsia"/>
          <w:color w:val="auto"/>
        </w:rPr>
        <w:t>口</w:t>
      </w:r>
      <w:r>
        <w:rPr>
          <w:color w:val="auto"/>
        </w:rPr>
        <w:t>，</w:t>
      </w:r>
      <w:r>
        <w:rPr>
          <w:rFonts w:hint="eastAsia"/>
          <w:color w:val="auto"/>
        </w:rPr>
        <w:t>表土</w:t>
      </w:r>
      <w:r>
        <w:rPr>
          <w:color w:val="auto"/>
        </w:rPr>
        <w:t>剥离</w:t>
      </w:r>
      <w:r>
        <w:rPr>
          <w:rFonts w:hint="eastAsia"/>
          <w:color w:val="auto"/>
        </w:rPr>
        <w:t>12310</w:t>
      </w:r>
      <w:r>
        <w:rPr>
          <w:color w:val="auto"/>
        </w:rPr>
        <w:t>m</w:t>
      </w:r>
      <w:r>
        <w:rPr>
          <w:color w:val="auto"/>
          <w:vertAlign w:val="superscript"/>
        </w:rPr>
        <w:t>3</w:t>
      </w:r>
      <w:r>
        <w:rPr>
          <w:rFonts w:hint="eastAsia"/>
          <w:color w:val="auto"/>
          <w:lang w:eastAsia="zh-CN"/>
        </w:rPr>
        <w:t>。</w:t>
      </w:r>
    </w:p>
    <w:p>
      <w:pPr>
        <w:rPr>
          <w:rFonts w:hint="eastAsia"/>
          <w:color w:val="auto"/>
          <w:lang w:val="en-US" w:eastAsia="zh-CN"/>
        </w:rPr>
      </w:pPr>
      <w:r>
        <w:rPr>
          <w:rFonts w:ascii="Times New Roman" w:hAnsi="Times New Roman" w:eastAsia="仿宋_GB2312"/>
          <w:color w:val="auto"/>
        </w:rPr>
        <w:t>本工程水土保持</w:t>
      </w:r>
      <w:r>
        <w:rPr>
          <w:rFonts w:ascii="Times New Roman" w:hAnsi="Times New Roman" w:eastAsia="仿宋_GB2312"/>
          <w:color w:val="auto"/>
          <w:lang w:eastAsia="zh-CN"/>
        </w:rPr>
        <w:t>工程</w:t>
      </w:r>
      <w:r>
        <w:rPr>
          <w:rFonts w:ascii="Times New Roman" w:hAnsi="Times New Roman" w:eastAsia="仿宋_GB2312"/>
          <w:color w:val="auto"/>
        </w:rPr>
        <w:t>设施完成情况详见表</w:t>
      </w:r>
      <w:r>
        <w:rPr>
          <w:rFonts w:hint="eastAsia" w:ascii="Times New Roman" w:hAnsi="Times New Roman"/>
          <w:color w:val="auto"/>
          <w:lang w:val="en-US" w:eastAsia="zh-CN"/>
        </w:rPr>
        <w:t>4-1。</w:t>
      </w:r>
    </w:p>
    <w:p>
      <w:pPr>
        <w:pStyle w:val="17"/>
        <w:rPr>
          <w:rFonts w:hint="eastAsia"/>
          <w:color w:val="auto"/>
          <w:lang w:val="en-US" w:eastAsia="zh-CN"/>
        </w:rPr>
      </w:pPr>
      <w:r>
        <w:rPr>
          <w:rFonts w:hint="eastAsia"/>
          <w:color w:val="auto"/>
          <w:lang w:val="en-US" w:eastAsia="zh-CN"/>
        </w:rPr>
        <w:t>表4-1水土保持工程措施实施情况</w:t>
      </w:r>
    </w:p>
    <w:tbl>
      <w:tblPr>
        <w:tblStyle w:val="1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9"/>
        <w:gridCol w:w="3237"/>
        <w:gridCol w:w="1921"/>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66" w:type="pct"/>
            <w:shd w:val="clear" w:color="auto" w:fill="auto"/>
            <w:noWrap w:val="0"/>
            <w:vAlign w:val="center"/>
          </w:tcPr>
          <w:p>
            <w:pPr>
              <w:pStyle w:val="16"/>
              <w:rPr>
                <w:color w:val="auto"/>
              </w:rPr>
            </w:pPr>
            <w:bookmarkStart w:id="130" w:name="_Toc371174615"/>
            <w:bookmarkStart w:id="131" w:name="_Toc400530784"/>
            <w:bookmarkStart w:id="132" w:name="_Toc400529683"/>
            <w:bookmarkStart w:id="133" w:name="_Toc290122051"/>
            <w:bookmarkStart w:id="134" w:name="_Toc25212"/>
            <w:r>
              <w:rPr>
                <w:color w:val="auto"/>
              </w:rPr>
              <w:t>序号</w:t>
            </w:r>
          </w:p>
        </w:tc>
        <w:tc>
          <w:tcPr>
            <w:tcW w:w="1798" w:type="pct"/>
            <w:shd w:val="clear" w:color="auto" w:fill="auto"/>
            <w:noWrap w:val="0"/>
            <w:vAlign w:val="center"/>
          </w:tcPr>
          <w:p>
            <w:pPr>
              <w:pStyle w:val="16"/>
              <w:rPr>
                <w:color w:val="auto"/>
              </w:rPr>
            </w:pPr>
            <w:r>
              <w:rPr>
                <w:color w:val="auto"/>
              </w:rPr>
              <w:t>项目</w:t>
            </w:r>
          </w:p>
        </w:tc>
        <w:tc>
          <w:tcPr>
            <w:tcW w:w="1067" w:type="pct"/>
            <w:shd w:val="clear" w:color="auto" w:fill="auto"/>
            <w:noWrap w:val="0"/>
            <w:vAlign w:val="center"/>
          </w:tcPr>
          <w:p>
            <w:pPr>
              <w:pStyle w:val="16"/>
              <w:rPr>
                <w:color w:val="auto"/>
              </w:rPr>
            </w:pPr>
            <w:r>
              <w:rPr>
                <w:color w:val="auto"/>
              </w:rPr>
              <w:t>单位</w:t>
            </w:r>
          </w:p>
        </w:tc>
        <w:tc>
          <w:tcPr>
            <w:tcW w:w="1067" w:type="pct"/>
            <w:shd w:val="clear" w:color="auto" w:fill="auto"/>
            <w:noWrap w:val="0"/>
            <w:vAlign w:val="center"/>
          </w:tcPr>
          <w:p>
            <w:pPr>
              <w:pStyle w:val="16"/>
              <w:rPr>
                <w:color w:val="auto"/>
              </w:rPr>
            </w:pPr>
            <w:r>
              <w:rPr>
                <w:rFonts w:hint="eastAsia"/>
                <w:color w:val="auto"/>
                <w:lang w:eastAsia="zh-CN"/>
              </w:rPr>
              <w:t>工程</w:t>
            </w:r>
            <w:r>
              <w:rPr>
                <w:color w:val="auto"/>
              </w:rPr>
              <w:t>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66" w:type="pct"/>
            <w:shd w:val="clear" w:color="auto" w:fill="auto"/>
            <w:noWrap w:val="0"/>
            <w:vAlign w:val="center"/>
          </w:tcPr>
          <w:p>
            <w:pPr>
              <w:pStyle w:val="16"/>
              <w:rPr>
                <w:rFonts w:eastAsia="等线"/>
                <w:color w:val="auto"/>
              </w:rPr>
            </w:pPr>
            <w:r>
              <w:rPr>
                <w:rFonts w:ascii="宋体" w:hAnsi="宋体" w:eastAsia="宋体"/>
                <w:color w:val="auto"/>
              </w:rPr>
              <w:t>Ⅰ</w:t>
            </w:r>
          </w:p>
        </w:tc>
        <w:tc>
          <w:tcPr>
            <w:tcW w:w="1798" w:type="pct"/>
            <w:shd w:val="clear" w:color="auto" w:fill="auto"/>
            <w:noWrap w:val="0"/>
            <w:vAlign w:val="center"/>
          </w:tcPr>
          <w:p>
            <w:pPr>
              <w:pStyle w:val="16"/>
              <w:rPr>
                <w:color w:val="auto"/>
              </w:rPr>
            </w:pPr>
            <w:r>
              <w:rPr>
                <w:color w:val="auto"/>
              </w:rPr>
              <w:t>工程措施</w:t>
            </w:r>
          </w:p>
        </w:tc>
        <w:tc>
          <w:tcPr>
            <w:tcW w:w="1067" w:type="pct"/>
            <w:shd w:val="clear" w:color="auto" w:fill="auto"/>
            <w:noWrap w:val="0"/>
            <w:vAlign w:val="center"/>
          </w:tcPr>
          <w:p>
            <w:pPr>
              <w:pStyle w:val="16"/>
              <w:rPr>
                <w:rFonts w:eastAsia="等线"/>
                <w:color w:val="auto"/>
              </w:rPr>
            </w:pPr>
            <w:r>
              <w:rPr>
                <w:rFonts w:eastAsia="等线"/>
                <w:color w:val="auto"/>
              </w:rPr>
              <w:t>　</w:t>
            </w:r>
          </w:p>
        </w:tc>
        <w:tc>
          <w:tcPr>
            <w:tcW w:w="1067" w:type="pct"/>
            <w:shd w:val="clear" w:color="auto" w:fill="auto"/>
            <w:noWrap w:val="0"/>
            <w:vAlign w:val="center"/>
          </w:tcPr>
          <w:p>
            <w:pPr>
              <w:pStyle w:val="16"/>
              <w:rPr>
                <w:rFonts w:eastAsia="等线"/>
                <w:color w:val="auto"/>
              </w:rPr>
            </w:pPr>
            <w:r>
              <w:rPr>
                <w:rFonts w:eastAsia="等线"/>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66" w:type="pct"/>
            <w:shd w:val="clear" w:color="auto" w:fill="auto"/>
            <w:noWrap w:val="0"/>
            <w:vAlign w:val="center"/>
          </w:tcPr>
          <w:p>
            <w:pPr>
              <w:pStyle w:val="16"/>
              <w:rPr>
                <w:color w:val="auto"/>
              </w:rPr>
            </w:pPr>
            <w:r>
              <w:rPr>
                <w:color w:val="auto"/>
              </w:rPr>
              <w:t>一</w:t>
            </w:r>
          </w:p>
        </w:tc>
        <w:tc>
          <w:tcPr>
            <w:tcW w:w="1798" w:type="pct"/>
            <w:shd w:val="clear" w:color="auto" w:fill="auto"/>
            <w:noWrap w:val="0"/>
            <w:vAlign w:val="center"/>
          </w:tcPr>
          <w:p>
            <w:pPr>
              <w:pStyle w:val="16"/>
              <w:rPr>
                <w:color w:val="auto"/>
              </w:rPr>
            </w:pPr>
            <w:r>
              <w:rPr>
                <w:color w:val="auto"/>
              </w:rPr>
              <w:t>路基工程区</w:t>
            </w:r>
          </w:p>
        </w:tc>
        <w:tc>
          <w:tcPr>
            <w:tcW w:w="1067" w:type="pct"/>
            <w:shd w:val="clear" w:color="auto" w:fill="auto"/>
            <w:noWrap w:val="0"/>
            <w:vAlign w:val="center"/>
          </w:tcPr>
          <w:p>
            <w:pPr>
              <w:pStyle w:val="16"/>
              <w:rPr>
                <w:rFonts w:eastAsia="等线"/>
                <w:color w:val="auto"/>
              </w:rPr>
            </w:pPr>
            <w:r>
              <w:rPr>
                <w:rFonts w:eastAsia="等线"/>
                <w:color w:val="auto"/>
              </w:rPr>
              <w:t>　</w:t>
            </w:r>
          </w:p>
        </w:tc>
        <w:tc>
          <w:tcPr>
            <w:tcW w:w="1067" w:type="pct"/>
            <w:shd w:val="clear" w:color="auto" w:fill="auto"/>
            <w:noWrap w:val="0"/>
            <w:vAlign w:val="center"/>
          </w:tcPr>
          <w:p>
            <w:pPr>
              <w:pStyle w:val="16"/>
              <w:rPr>
                <w:rFonts w:eastAsia="等线"/>
                <w:color w:val="auto"/>
              </w:rPr>
            </w:pPr>
            <w:r>
              <w:rPr>
                <w:rFonts w:eastAsia="等线"/>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66" w:type="pct"/>
            <w:shd w:val="clear" w:color="auto" w:fill="auto"/>
            <w:noWrap w:val="0"/>
            <w:vAlign w:val="center"/>
          </w:tcPr>
          <w:p>
            <w:pPr>
              <w:pStyle w:val="16"/>
              <w:rPr>
                <w:rFonts w:eastAsia="等线"/>
                <w:color w:val="auto"/>
              </w:rPr>
            </w:pPr>
            <w:r>
              <w:rPr>
                <w:rFonts w:eastAsia="等线"/>
                <w:color w:val="auto"/>
              </w:rPr>
              <w:t>1</w:t>
            </w:r>
          </w:p>
        </w:tc>
        <w:tc>
          <w:tcPr>
            <w:tcW w:w="1798" w:type="pct"/>
            <w:shd w:val="clear" w:color="auto" w:fill="auto"/>
            <w:noWrap w:val="0"/>
            <w:vAlign w:val="center"/>
          </w:tcPr>
          <w:p>
            <w:pPr>
              <w:pStyle w:val="16"/>
              <w:rPr>
                <w:color w:val="auto"/>
              </w:rPr>
            </w:pPr>
            <w:r>
              <w:rPr>
                <w:color w:val="auto"/>
              </w:rPr>
              <w:t>道路边沟</w:t>
            </w:r>
          </w:p>
        </w:tc>
        <w:tc>
          <w:tcPr>
            <w:tcW w:w="1067" w:type="pct"/>
            <w:shd w:val="clear" w:color="auto" w:fill="auto"/>
            <w:noWrap w:val="0"/>
            <w:vAlign w:val="center"/>
          </w:tcPr>
          <w:p>
            <w:pPr>
              <w:pStyle w:val="16"/>
              <w:rPr>
                <w:rFonts w:eastAsia="等线"/>
                <w:color w:val="auto"/>
              </w:rPr>
            </w:pPr>
            <w:r>
              <w:rPr>
                <w:rFonts w:eastAsia="等线"/>
                <w:color w:val="auto"/>
              </w:rPr>
              <w:t>m</w:t>
            </w:r>
          </w:p>
        </w:tc>
        <w:tc>
          <w:tcPr>
            <w:tcW w:w="1067" w:type="pct"/>
            <w:shd w:val="clear" w:color="auto" w:fill="auto"/>
            <w:noWrap w:val="0"/>
            <w:vAlign w:val="center"/>
          </w:tcPr>
          <w:p>
            <w:pPr>
              <w:pStyle w:val="16"/>
              <w:rPr>
                <w:rFonts w:eastAsia="等线"/>
                <w:color w:val="auto"/>
              </w:rPr>
            </w:pPr>
            <w:r>
              <w:rPr>
                <w:rFonts w:eastAsia="等线"/>
                <w:color w:val="auto"/>
              </w:rPr>
              <w:t>3345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66" w:type="pct"/>
            <w:shd w:val="clear" w:color="auto" w:fill="auto"/>
            <w:noWrap w:val="0"/>
            <w:vAlign w:val="center"/>
          </w:tcPr>
          <w:p>
            <w:pPr>
              <w:pStyle w:val="16"/>
              <w:rPr>
                <w:rFonts w:eastAsia="等线"/>
                <w:color w:val="auto"/>
              </w:rPr>
            </w:pPr>
            <w:r>
              <w:rPr>
                <w:rFonts w:eastAsia="等线"/>
                <w:color w:val="auto"/>
              </w:rPr>
              <w:t>2</w:t>
            </w:r>
          </w:p>
        </w:tc>
        <w:tc>
          <w:tcPr>
            <w:tcW w:w="1798" w:type="pct"/>
            <w:shd w:val="clear" w:color="auto" w:fill="auto"/>
            <w:noWrap w:val="0"/>
            <w:vAlign w:val="center"/>
          </w:tcPr>
          <w:p>
            <w:pPr>
              <w:pStyle w:val="16"/>
              <w:rPr>
                <w:color w:val="auto"/>
              </w:rPr>
            </w:pPr>
            <w:r>
              <w:rPr>
                <w:color w:val="auto"/>
              </w:rPr>
              <w:t>骨架护坡</w:t>
            </w:r>
          </w:p>
        </w:tc>
        <w:tc>
          <w:tcPr>
            <w:tcW w:w="1067" w:type="pct"/>
            <w:shd w:val="clear" w:color="auto" w:fill="auto"/>
            <w:noWrap w:val="0"/>
            <w:vAlign w:val="center"/>
          </w:tcPr>
          <w:p>
            <w:pPr>
              <w:pStyle w:val="16"/>
              <w:rPr>
                <w:rFonts w:eastAsia="等线"/>
                <w:color w:val="auto"/>
              </w:rPr>
            </w:pPr>
            <w:r>
              <w:rPr>
                <w:rFonts w:eastAsia="等线"/>
                <w:color w:val="auto"/>
              </w:rPr>
              <w:t>hm</w:t>
            </w:r>
            <w:r>
              <w:rPr>
                <w:rFonts w:eastAsia="等线"/>
                <w:color w:val="auto"/>
                <w:vertAlign w:val="superscript"/>
              </w:rPr>
              <w:t>2</w:t>
            </w:r>
          </w:p>
        </w:tc>
        <w:tc>
          <w:tcPr>
            <w:tcW w:w="1067" w:type="pct"/>
            <w:shd w:val="clear" w:color="auto" w:fill="auto"/>
            <w:noWrap w:val="0"/>
            <w:vAlign w:val="center"/>
          </w:tcPr>
          <w:p>
            <w:pPr>
              <w:pStyle w:val="16"/>
              <w:rPr>
                <w:rFonts w:eastAsia="等线"/>
                <w:color w:val="auto"/>
              </w:rPr>
            </w:pPr>
            <w:r>
              <w:rPr>
                <w:rFonts w:eastAsia="等线"/>
                <w:color w:val="auto"/>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66" w:type="pct"/>
            <w:shd w:val="clear" w:color="auto" w:fill="auto"/>
            <w:noWrap w:val="0"/>
            <w:vAlign w:val="center"/>
          </w:tcPr>
          <w:p>
            <w:pPr>
              <w:pStyle w:val="16"/>
              <w:rPr>
                <w:rFonts w:eastAsia="等线"/>
                <w:color w:val="auto"/>
              </w:rPr>
            </w:pPr>
            <w:r>
              <w:rPr>
                <w:rFonts w:eastAsia="等线"/>
                <w:color w:val="auto"/>
              </w:rPr>
              <w:t>4</w:t>
            </w:r>
          </w:p>
        </w:tc>
        <w:tc>
          <w:tcPr>
            <w:tcW w:w="1798" w:type="pct"/>
            <w:shd w:val="clear" w:color="auto" w:fill="auto"/>
            <w:noWrap w:val="0"/>
            <w:vAlign w:val="center"/>
          </w:tcPr>
          <w:p>
            <w:pPr>
              <w:pStyle w:val="16"/>
              <w:rPr>
                <w:color w:val="auto"/>
              </w:rPr>
            </w:pPr>
            <w:r>
              <w:rPr>
                <w:color w:val="auto"/>
              </w:rPr>
              <w:t>沉砂池</w:t>
            </w:r>
          </w:p>
        </w:tc>
        <w:tc>
          <w:tcPr>
            <w:tcW w:w="1067" w:type="pct"/>
            <w:shd w:val="clear" w:color="auto" w:fill="auto"/>
            <w:noWrap w:val="0"/>
            <w:vAlign w:val="center"/>
          </w:tcPr>
          <w:p>
            <w:pPr>
              <w:pStyle w:val="16"/>
              <w:rPr>
                <w:rFonts w:ascii="宋体" w:hAnsi="宋体" w:eastAsia="宋体"/>
                <w:color w:val="auto"/>
              </w:rPr>
            </w:pPr>
            <w:r>
              <w:rPr>
                <w:rFonts w:ascii="宋体" w:hAnsi="宋体" w:eastAsia="宋体"/>
                <w:color w:val="auto"/>
              </w:rPr>
              <w:t>口</w:t>
            </w:r>
          </w:p>
        </w:tc>
        <w:tc>
          <w:tcPr>
            <w:tcW w:w="1067" w:type="pct"/>
            <w:shd w:val="clear" w:color="auto" w:fill="auto"/>
            <w:noWrap w:val="0"/>
            <w:vAlign w:val="center"/>
          </w:tcPr>
          <w:p>
            <w:pPr>
              <w:pStyle w:val="16"/>
              <w:rPr>
                <w:rFonts w:eastAsia="等线"/>
                <w:color w:val="auto"/>
              </w:rPr>
            </w:pPr>
            <w:r>
              <w:rPr>
                <w:rFonts w:eastAsia="等线"/>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66" w:type="pct"/>
            <w:shd w:val="clear" w:color="auto" w:fill="auto"/>
            <w:noWrap w:val="0"/>
            <w:vAlign w:val="center"/>
          </w:tcPr>
          <w:p>
            <w:pPr>
              <w:pStyle w:val="16"/>
              <w:rPr>
                <w:rFonts w:eastAsia="等线"/>
                <w:color w:val="auto"/>
              </w:rPr>
            </w:pPr>
            <w:r>
              <w:rPr>
                <w:rFonts w:eastAsia="等线"/>
                <w:color w:val="auto"/>
              </w:rPr>
              <w:t>5</w:t>
            </w:r>
          </w:p>
        </w:tc>
        <w:tc>
          <w:tcPr>
            <w:tcW w:w="1798" w:type="pct"/>
            <w:shd w:val="clear" w:color="auto" w:fill="auto"/>
            <w:noWrap w:val="0"/>
            <w:vAlign w:val="center"/>
          </w:tcPr>
          <w:p>
            <w:pPr>
              <w:pStyle w:val="16"/>
              <w:rPr>
                <w:color w:val="auto"/>
              </w:rPr>
            </w:pPr>
            <w:r>
              <w:rPr>
                <w:color w:val="auto"/>
              </w:rPr>
              <w:t>砖砌植物槽</w:t>
            </w:r>
          </w:p>
        </w:tc>
        <w:tc>
          <w:tcPr>
            <w:tcW w:w="1067" w:type="pct"/>
            <w:shd w:val="clear" w:color="auto" w:fill="auto"/>
            <w:noWrap w:val="0"/>
            <w:vAlign w:val="center"/>
          </w:tcPr>
          <w:p>
            <w:pPr>
              <w:pStyle w:val="16"/>
              <w:rPr>
                <w:rFonts w:eastAsia="等线"/>
                <w:color w:val="auto"/>
              </w:rPr>
            </w:pPr>
            <w:r>
              <w:rPr>
                <w:rFonts w:eastAsia="等线"/>
                <w:color w:val="auto"/>
              </w:rPr>
              <w:t>m</w:t>
            </w:r>
          </w:p>
        </w:tc>
        <w:tc>
          <w:tcPr>
            <w:tcW w:w="1067" w:type="pct"/>
            <w:shd w:val="clear" w:color="auto" w:fill="auto"/>
            <w:noWrap w:val="0"/>
            <w:vAlign w:val="center"/>
          </w:tcPr>
          <w:p>
            <w:pPr>
              <w:pStyle w:val="16"/>
              <w:rPr>
                <w:rFonts w:eastAsia="等线"/>
                <w:color w:val="auto"/>
              </w:rPr>
            </w:pPr>
            <w:r>
              <w:rPr>
                <w:rFonts w:eastAsia="等线"/>
                <w:color w:val="auto"/>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66" w:type="pct"/>
            <w:shd w:val="clear" w:color="auto" w:fill="auto"/>
            <w:noWrap w:val="0"/>
            <w:vAlign w:val="center"/>
          </w:tcPr>
          <w:p>
            <w:pPr>
              <w:pStyle w:val="16"/>
              <w:rPr>
                <w:rFonts w:eastAsia="等线"/>
                <w:color w:val="auto"/>
              </w:rPr>
            </w:pPr>
            <w:r>
              <w:rPr>
                <w:rFonts w:eastAsia="等线"/>
                <w:color w:val="auto"/>
              </w:rPr>
              <w:t>6</w:t>
            </w:r>
          </w:p>
        </w:tc>
        <w:tc>
          <w:tcPr>
            <w:tcW w:w="1798" w:type="pct"/>
            <w:shd w:val="clear" w:color="auto" w:fill="auto"/>
            <w:noWrap w:val="0"/>
            <w:vAlign w:val="center"/>
          </w:tcPr>
          <w:p>
            <w:pPr>
              <w:pStyle w:val="16"/>
              <w:rPr>
                <w:color w:val="auto"/>
              </w:rPr>
            </w:pPr>
            <w:r>
              <w:rPr>
                <w:color w:val="auto"/>
              </w:rPr>
              <w:t>雨水管</w:t>
            </w:r>
          </w:p>
        </w:tc>
        <w:tc>
          <w:tcPr>
            <w:tcW w:w="1067" w:type="pct"/>
            <w:shd w:val="clear" w:color="auto" w:fill="auto"/>
            <w:noWrap w:val="0"/>
            <w:vAlign w:val="center"/>
          </w:tcPr>
          <w:p>
            <w:pPr>
              <w:pStyle w:val="16"/>
              <w:rPr>
                <w:rFonts w:eastAsia="等线"/>
                <w:color w:val="auto"/>
              </w:rPr>
            </w:pPr>
            <w:r>
              <w:rPr>
                <w:rFonts w:eastAsia="等线"/>
                <w:color w:val="auto"/>
              </w:rPr>
              <w:t>m</w:t>
            </w:r>
          </w:p>
        </w:tc>
        <w:tc>
          <w:tcPr>
            <w:tcW w:w="1067" w:type="pct"/>
            <w:shd w:val="clear" w:color="auto" w:fill="auto"/>
            <w:noWrap w:val="0"/>
            <w:vAlign w:val="center"/>
          </w:tcPr>
          <w:p>
            <w:pPr>
              <w:pStyle w:val="16"/>
              <w:rPr>
                <w:rFonts w:eastAsia="等线"/>
                <w:color w:val="auto"/>
              </w:rPr>
            </w:pPr>
            <w:r>
              <w:rPr>
                <w:rFonts w:eastAsia="等线"/>
                <w:color w:val="auto"/>
              </w:rPr>
              <w:t>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66" w:type="pct"/>
            <w:shd w:val="clear" w:color="auto" w:fill="auto"/>
            <w:noWrap w:val="0"/>
            <w:vAlign w:val="center"/>
          </w:tcPr>
          <w:p>
            <w:pPr>
              <w:pStyle w:val="16"/>
              <w:rPr>
                <w:rFonts w:eastAsia="等线"/>
                <w:color w:val="auto"/>
              </w:rPr>
            </w:pPr>
            <w:r>
              <w:rPr>
                <w:rFonts w:eastAsia="等线"/>
                <w:color w:val="auto"/>
              </w:rPr>
              <w:t>7</w:t>
            </w:r>
          </w:p>
        </w:tc>
        <w:tc>
          <w:tcPr>
            <w:tcW w:w="1798" w:type="pct"/>
            <w:shd w:val="clear" w:color="auto" w:fill="auto"/>
            <w:noWrap w:val="0"/>
            <w:vAlign w:val="center"/>
          </w:tcPr>
          <w:p>
            <w:pPr>
              <w:pStyle w:val="16"/>
              <w:rPr>
                <w:color w:val="auto"/>
              </w:rPr>
            </w:pPr>
            <w:r>
              <w:rPr>
                <w:color w:val="auto"/>
              </w:rPr>
              <w:t>雨水井</w:t>
            </w:r>
          </w:p>
        </w:tc>
        <w:tc>
          <w:tcPr>
            <w:tcW w:w="1067" w:type="pct"/>
            <w:shd w:val="clear" w:color="auto" w:fill="auto"/>
            <w:noWrap w:val="0"/>
            <w:vAlign w:val="center"/>
          </w:tcPr>
          <w:p>
            <w:pPr>
              <w:pStyle w:val="16"/>
              <w:rPr>
                <w:rFonts w:eastAsia="等线"/>
                <w:color w:val="auto"/>
              </w:rPr>
            </w:pPr>
            <w:r>
              <w:rPr>
                <w:rFonts w:ascii="等线" w:eastAsia="等线"/>
                <w:color w:val="auto"/>
              </w:rPr>
              <w:t>口</w:t>
            </w:r>
          </w:p>
        </w:tc>
        <w:tc>
          <w:tcPr>
            <w:tcW w:w="1067" w:type="pct"/>
            <w:shd w:val="clear" w:color="auto" w:fill="auto"/>
            <w:noWrap w:val="0"/>
            <w:vAlign w:val="center"/>
          </w:tcPr>
          <w:p>
            <w:pPr>
              <w:pStyle w:val="16"/>
              <w:rPr>
                <w:rFonts w:eastAsia="等线"/>
                <w:color w:val="auto"/>
              </w:rPr>
            </w:pPr>
            <w:r>
              <w:rPr>
                <w:rFonts w:eastAsia="等线"/>
                <w:color w:val="auto"/>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66" w:type="pct"/>
            <w:shd w:val="clear" w:color="auto" w:fill="auto"/>
            <w:noWrap w:val="0"/>
            <w:vAlign w:val="center"/>
          </w:tcPr>
          <w:p>
            <w:pPr>
              <w:pStyle w:val="16"/>
              <w:rPr>
                <w:rFonts w:eastAsia="等线"/>
                <w:color w:val="auto"/>
              </w:rPr>
            </w:pPr>
            <w:r>
              <w:rPr>
                <w:rFonts w:eastAsia="等线"/>
                <w:color w:val="auto"/>
              </w:rPr>
              <w:t>8</w:t>
            </w:r>
          </w:p>
        </w:tc>
        <w:tc>
          <w:tcPr>
            <w:tcW w:w="1798" w:type="pct"/>
            <w:shd w:val="clear" w:color="auto" w:fill="auto"/>
            <w:noWrap w:val="0"/>
            <w:vAlign w:val="center"/>
          </w:tcPr>
          <w:p>
            <w:pPr>
              <w:pStyle w:val="16"/>
              <w:rPr>
                <w:color w:val="auto"/>
              </w:rPr>
            </w:pPr>
            <w:r>
              <w:rPr>
                <w:color w:val="auto"/>
              </w:rPr>
              <w:t>表土剥离</w:t>
            </w:r>
          </w:p>
        </w:tc>
        <w:tc>
          <w:tcPr>
            <w:tcW w:w="1067" w:type="pct"/>
            <w:shd w:val="clear" w:color="auto" w:fill="auto"/>
            <w:noWrap w:val="0"/>
            <w:vAlign w:val="center"/>
          </w:tcPr>
          <w:p>
            <w:pPr>
              <w:pStyle w:val="16"/>
              <w:rPr>
                <w:rFonts w:eastAsia="等线"/>
                <w:color w:val="auto"/>
              </w:rPr>
            </w:pPr>
            <w:r>
              <w:rPr>
                <w:rFonts w:eastAsia="等线"/>
                <w:color w:val="auto"/>
              </w:rPr>
              <w:t>m</w:t>
            </w:r>
            <w:r>
              <w:rPr>
                <w:rFonts w:eastAsia="等线"/>
                <w:color w:val="auto"/>
                <w:vertAlign w:val="superscript"/>
              </w:rPr>
              <w:t>3</w:t>
            </w:r>
          </w:p>
        </w:tc>
        <w:tc>
          <w:tcPr>
            <w:tcW w:w="1067" w:type="pct"/>
            <w:shd w:val="clear" w:color="auto" w:fill="auto"/>
            <w:noWrap w:val="0"/>
            <w:vAlign w:val="center"/>
          </w:tcPr>
          <w:p>
            <w:pPr>
              <w:pStyle w:val="16"/>
              <w:rPr>
                <w:rFonts w:eastAsia="等线"/>
                <w:color w:val="auto"/>
              </w:rPr>
            </w:pPr>
            <w:r>
              <w:rPr>
                <w:rFonts w:eastAsia="等线"/>
                <w:color w:val="auto"/>
              </w:rPr>
              <w:t>12310</w:t>
            </w:r>
          </w:p>
        </w:tc>
      </w:tr>
    </w:tbl>
    <w:p>
      <w:pPr>
        <w:pStyle w:val="3"/>
        <w:rPr>
          <w:rFonts w:hint="default"/>
          <w:color w:val="auto"/>
        </w:rPr>
      </w:pPr>
      <w:r>
        <w:rPr>
          <w:rFonts w:hint="default"/>
          <w:color w:val="auto"/>
        </w:rPr>
        <w:t>4.2植物措施</w:t>
      </w:r>
      <w:bookmarkEnd w:id="130"/>
      <w:bookmarkEnd w:id="131"/>
      <w:bookmarkEnd w:id="132"/>
      <w:bookmarkEnd w:id="133"/>
      <w:r>
        <w:rPr>
          <w:rFonts w:hint="default"/>
          <w:color w:val="auto"/>
        </w:rPr>
        <w:t>监测结果</w:t>
      </w:r>
      <w:bookmarkEnd w:id="134"/>
    </w:p>
    <w:p>
      <w:pPr>
        <w:spacing w:after="156"/>
        <w:ind w:firstLine="480"/>
        <w:rPr>
          <w:rFonts w:hint="eastAsia" w:ascii="Times New Roman" w:hAnsi="Times New Roman"/>
          <w:color w:val="auto"/>
          <w:lang w:val="en-US" w:eastAsia="zh-CN"/>
        </w:rPr>
      </w:pPr>
      <w:r>
        <w:rPr>
          <w:rFonts w:hint="eastAsia"/>
          <w:color w:val="auto"/>
          <w:lang w:eastAsia="zh-CN"/>
        </w:rPr>
        <w:t>截止20</w:t>
      </w:r>
      <w:r>
        <w:rPr>
          <w:rFonts w:hint="eastAsia"/>
          <w:color w:val="auto"/>
          <w:lang w:val="en-US" w:eastAsia="zh-CN"/>
        </w:rPr>
        <w:t>20</w:t>
      </w:r>
      <w:r>
        <w:rPr>
          <w:rFonts w:hint="eastAsia"/>
          <w:color w:val="auto"/>
          <w:lang w:eastAsia="zh-CN"/>
        </w:rPr>
        <w:t>年</w:t>
      </w:r>
      <w:r>
        <w:rPr>
          <w:rFonts w:hint="eastAsia"/>
          <w:color w:val="auto"/>
          <w:lang w:val="en-US" w:eastAsia="zh-CN"/>
        </w:rPr>
        <w:t>10</w:t>
      </w:r>
      <w:r>
        <w:rPr>
          <w:rFonts w:hint="eastAsia"/>
          <w:color w:val="auto"/>
          <w:lang w:eastAsia="zh-CN"/>
        </w:rPr>
        <w:t>月，项目区实施的水土保持植物措施如下：</w:t>
      </w:r>
      <w:r>
        <w:rPr>
          <w:rFonts w:hint="eastAsia"/>
          <w:color w:val="auto"/>
        </w:rPr>
        <w:t>行道树517株</w:t>
      </w:r>
      <w:r>
        <w:rPr>
          <w:color w:val="auto"/>
        </w:rPr>
        <w:t>，</w:t>
      </w:r>
      <w:r>
        <w:rPr>
          <w:rFonts w:hint="eastAsia"/>
          <w:color w:val="auto"/>
        </w:rPr>
        <w:t>边坡</w:t>
      </w:r>
      <w:r>
        <w:rPr>
          <w:color w:val="auto"/>
        </w:rPr>
        <w:t>植草</w:t>
      </w:r>
      <w:r>
        <w:rPr>
          <w:rFonts w:hint="eastAsia"/>
          <w:color w:val="auto"/>
        </w:rPr>
        <w:t>0.35</w:t>
      </w:r>
      <w:r>
        <w:rPr>
          <w:color w:val="auto"/>
        </w:rPr>
        <w:t>hm2，</w:t>
      </w:r>
      <w:r>
        <w:rPr>
          <w:rFonts w:hint="eastAsia"/>
          <w:color w:val="auto"/>
        </w:rPr>
        <w:t>种植</w:t>
      </w:r>
      <w:r>
        <w:rPr>
          <w:color w:val="auto"/>
        </w:rPr>
        <w:t>小金竹</w:t>
      </w:r>
      <w:r>
        <w:rPr>
          <w:rFonts w:hint="eastAsia"/>
          <w:color w:val="auto"/>
        </w:rPr>
        <w:t>113株</w:t>
      </w:r>
      <w:r>
        <w:rPr>
          <w:color w:val="auto"/>
        </w:rPr>
        <w:t>，</w:t>
      </w:r>
      <w:r>
        <w:rPr>
          <w:rFonts w:hint="eastAsia"/>
          <w:color w:val="auto"/>
        </w:rPr>
        <w:t>种植</w:t>
      </w:r>
      <w:r>
        <w:rPr>
          <w:color w:val="auto"/>
        </w:rPr>
        <w:t>灌木</w:t>
      </w:r>
      <w:r>
        <w:rPr>
          <w:rFonts w:hint="eastAsia"/>
          <w:color w:val="auto"/>
        </w:rPr>
        <w:t>432株</w:t>
      </w:r>
      <w:r>
        <w:rPr>
          <w:color w:val="auto"/>
        </w:rPr>
        <w:t>，</w:t>
      </w:r>
      <w:r>
        <w:rPr>
          <w:rFonts w:hint="eastAsia"/>
          <w:color w:val="auto"/>
        </w:rPr>
        <w:t>种植</w:t>
      </w:r>
      <w:r>
        <w:rPr>
          <w:color w:val="auto"/>
        </w:rPr>
        <w:t>油麻藤</w:t>
      </w:r>
      <w:r>
        <w:rPr>
          <w:rFonts w:hint="eastAsia"/>
          <w:color w:val="auto"/>
        </w:rPr>
        <w:t>1143株</w:t>
      </w:r>
      <w:r>
        <w:rPr>
          <w:color w:val="auto"/>
        </w:rPr>
        <w:t>，</w:t>
      </w:r>
      <w:r>
        <w:rPr>
          <w:rFonts w:hint="eastAsia"/>
          <w:color w:val="auto"/>
        </w:rPr>
        <w:t>植物</w:t>
      </w:r>
      <w:r>
        <w:rPr>
          <w:color w:val="auto"/>
        </w:rPr>
        <w:t>绿化带</w:t>
      </w:r>
      <w:r>
        <w:rPr>
          <w:rFonts w:hint="eastAsia"/>
          <w:color w:val="auto"/>
        </w:rPr>
        <w:t>0.10</w:t>
      </w:r>
      <w:r>
        <w:rPr>
          <w:color w:val="auto"/>
        </w:rPr>
        <w:t>m</w:t>
      </w:r>
      <w:r>
        <w:rPr>
          <w:color w:val="auto"/>
          <w:vertAlign w:val="superscript"/>
        </w:rPr>
        <w:t>2</w:t>
      </w:r>
      <w:r>
        <w:rPr>
          <w:rFonts w:hint="eastAsia"/>
          <w:color w:val="auto"/>
        </w:rPr>
        <w:t>。</w:t>
      </w:r>
      <w:r>
        <w:rPr>
          <w:rFonts w:ascii="Times New Roman" w:hAnsi="Times New Roman" w:eastAsia="仿宋_GB2312"/>
          <w:color w:val="auto"/>
        </w:rPr>
        <w:t>绿化实际完成情况见表</w:t>
      </w:r>
      <w:r>
        <w:rPr>
          <w:rFonts w:hint="eastAsia" w:ascii="Times New Roman" w:hAnsi="Times New Roman"/>
          <w:color w:val="auto"/>
          <w:lang w:val="en-US" w:eastAsia="zh-CN"/>
        </w:rPr>
        <w:t>4-2。</w:t>
      </w:r>
    </w:p>
    <w:p>
      <w:pPr>
        <w:pStyle w:val="17"/>
        <w:rPr>
          <w:rFonts w:hint="default"/>
          <w:color w:val="auto"/>
        </w:rPr>
      </w:pPr>
      <w:r>
        <w:rPr>
          <w:rFonts w:hint="default"/>
          <w:color w:val="auto"/>
        </w:rPr>
        <w:t>表4-</w:t>
      </w:r>
      <w:r>
        <w:rPr>
          <w:rFonts w:hint="eastAsia"/>
          <w:color w:val="auto"/>
          <w:lang w:val="en-US" w:eastAsia="zh-CN"/>
        </w:rPr>
        <w:t>2</w:t>
      </w:r>
      <w:r>
        <w:rPr>
          <w:rFonts w:hint="default"/>
          <w:color w:val="auto"/>
        </w:rPr>
        <w:t xml:space="preserve">       </w:t>
      </w:r>
      <w:r>
        <w:rPr>
          <w:color w:val="auto"/>
        </w:rPr>
        <w:t>水土保持植物措施主要工程量</w:t>
      </w:r>
      <w:r>
        <w:rPr>
          <w:rFonts w:hint="eastAsia"/>
          <w:color w:val="auto"/>
          <w:lang w:eastAsia="zh-CN"/>
        </w:rPr>
        <w:t>实施</w:t>
      </w:r>
      <w:r>
        <w:rPr>
          <w:color w:val="auto"/>
        </w:rPr>
        <w:t>情况</w:t>
      </w:r>
    </w:p>
    <w:p>
      <w:pPr>
        <w:pStyle w:val="6"/>
        <w:rPr>
          <w:rFonts w:hint="eastAsia" w:ascii="Times New Roman" w:hAnsi="Times New Roman" w:eastAsia="仿宋_GB2312" w:cs="Times New Roman"/>
          <w:color w:val="auto"/>
          <w:spacing w:val="0"/>
          <w:sz w:val="24"/>
        </w:rPr>
      </w:pPr>
    </w:p>
    <w:tbl>
      <w:tblPr>
        <w:tblStyle w:val="1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9"/>
        <w:gridCol w:w="3237"/>
        <w:gridCol w:w="1921"/>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66" w:type="pct"/>
            <w:shd w:val="clear" w:color="auto" w:fill="auto"/>
            <w:noWrap w:val="0"/>
            <w:vAlign w:val="center"/>
          </w:tcPr>
          <w:p>
            <w:pPr>
              <w:pStyle w:val="16"/>
              <w:rPr>
                <w:color w:val="auto"/>
              </w:rPr>
            </w:pPr>
            <w:r>
              <w:rPr>
                <w:color w:val="auto"/>
              </w:rPr>
              <w:t>序号</w:t>
            </w:r>
          </w:p>
        </w:tc>
        <w:tc>
          <w:tcPr>
            <w:tcW w:w="1798" w:type="pct"/>
            <w:shd w:val="clear" w:color="auto" w:fill="auto"/>
            <w:noWrap w:val="0"/>
            <w:vAlign w:val="center"/>
          </w:tcPr>
          <w:p>
            <w:pPr>
              <w:pStyle w:val="16"/>
              <w:rPr>
                <w:color w:val="auto"/>
              </w:rPr>
            </w:pPr>
            <w:r>
              <w:rPr>
                <w:color w:val="auto"/>
              </w:rPr>
              <w:t>项目</w:t>
            </w:r>
          </w:p>
        </w:tc>
        <w:tc>
          <w:tcPr>
            <w:tcW w:w="1067" w:type="pct"/>
            <w:shd w:val="clear" w:color="auto" w:fill="auto"/>
            <w:noWrap w:val="0"/>
            <w:vAlign w:val="center"/>
          </w:tcPr>
          <w:p>
            <w:pPr>
              <w:pStyle w:val="16"/>
              <w:rPr>
                <w:color w:val="auto"/>
              </w:rPr>
            </w:pPr>
            <w:r>
              <w:rPr>
                <w:color w:val="auto"/>
              </w:rPr>
              <w:t>单位</w:t>
            </w:r>
          </w:p>
        </w:tc>
        <w:tc>
          <w:tcPr>
            <w:tcW w:w="1067" w:type="pct"/>
            <w:shd w:val="clear" w:color="auto" w:fill="auto"/>
            <w:noWrap w:val="0"/>
            <w:vAlign w:val="center"/>
          </w:tcPr>
          <w:p>
            <w:pPr>
              <w:pStyle w:val="16"/>
              <w:rPr>
                <w:color w:val="auto"/>
              </w:rPr>
            </w:pPr>
            <w:r>
              <w:rPr>
                <w:rFonts w:hint="eastAsia"/>
                <w:color w:val="auto"/>
                <w:lang w:eastAsia="zh-CN"/>
              </w:rPr>
              <w:t>工程</w:t>
            </w:r>
            <w:r>
              <w:rPr>
                <w:color w:val="auto"/>
              </w:rPr>
              <w:t>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66" w:type="pct"/>
            <w:shd w:val="clear" w:color="auto" w:fill="auto"/>
            <w:noWrap w:val="0"/>
            <w:vAlign w:val="center"/>
          </w:tcPr>
          <w:p>
            <w:pPr>
              <w:pStyle w:val="16"/>
              <w:rPr>
                <w:rFonts w:eastAsia="等线"/>
                <w:color w:val="auto"/>
              </w:rPr>
            </w:pPr>
            <w:r>
              <w:rPr>
                <w:rFonts w:ascii="宋体" w:hAnsi="宋体" w:eastAsia="宋体"/>
                <w:color w:val="auto"/>
              </w:rPr>
              <w:t>Ⅰ</w:t>
            </w:r>
          </w:p>
        </w:tc>
        <w:tc>
          <w:tcPr>
            <w:tcW w:w="1798" w:type="pct"/>
            <w:shd w:val="clear" w:color="auto" w:fill="auto"/>
            <w:noWrap w:val="0"/>
            <w:vAlign w:val="center"/>
          </w:tcPr>
          <w:p>
            <w:pPr>
              <w:pStyle w:val="16"/>
              <w:rPr>
                <w:color w:val="auto"/>
              </w:rPr>
            </w:pPr>
            <w:r>
              <w:rPr>
                <w:color w:val="auto"/>
              </w:rPr>
              <w:t>工程措施</w:t>
            </w:r>
          </w:p>
        </w:tc>
        <w:tc>
          <w:tcPr>
            <w:tcW w:w="1067" w:type="pct"/>
            <w:shd w:val="clear" w:color="auto" w:fill="auto"/>
            <w:noWrap w:val="0"/>
            <w:vAlign w:val="center"/>
          </w:tcPr>
          <w:p>
            <w:pPr>
              <w:pStyle w:val="16"/>
              <w:rPr>
                <w:rFonts w:eastAsia="等线"/>
                <w:color w:val="auto"/>
              </w:rPr>
            </w:pPr>
            <w:r>
              <w:rPr>
                <w:rFonts w:eastAsia="等线"/>
                <w:color w:val="auto"/>
              </w:rPr>
              <w:t>　</w:t>
            </w:r>
          </w:p>
        </w:tc>
        <w:tc>
          <w:tcPr>
            <w:tcW w:w="1067" w:type="pct"/>
            <w:shd w:val="clear" w:color="auto" w:fill="auto"/>
            <w:noWrap w:val="0"/>
            <w:vAlign w:val="center"/>
          </w:tcPr>
          <w:p>
            <w:pPr>
              <w:pStyle w:val="16"/>
              <w:rPr>
                <w:rFonts w:eastAsia="等线"/>
                <w:color w:val="auto"/>
              </w:rPr>
            </w:pPr>
            <w:r>
              <w:rPr>
                <w:rFonts w:eastAsia="等线"/>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066" w:type="pct"/>
            <w:shd w:val="clear" w:color="auto" w:fill="auto"/>
            <w:noWrap w:val="0"/>
            <w:vAlign w:val="center"/>
          </w:tcPr>
          <w:p>
            <w:pPr>
              <w:pStyle w:val="16"/>
              <w:rPr>
                <w:color w:val="auto"/>
              </w:rPr>
            </w:pPr>
            <w:r>
              <w:rPr>
                <w:color w:val="auto"/>
              </w:rPr>
              <w:t>一</w:t>
            </w:r>
          </w:p>
        </w:tc>
        <w:tc>
          <w:tcPr>
            <w:tcW w:w="1798" w:type="pct"/>
            <w:shd w:val="clear" w:color="auto" w:fill="auto"/>
            <w:noWrap w:val="0"/>
            <w:vAlign w:val="center"/>
          </w:tcPr>
          <w:p>
            <w:pPr>
              <w:pStyle w:val="16"/>
              <w:rPr>
                <w:color w:val="auto"/>
              </w:rPr>
            </w:pPr>
            <w:r>
              <w:rPr>
                <w:color w:val="auto"/>
              </w:rPr>
              <w:t>路基工程区</w:t>
            </w:r>
          </w:p>
        </w:tc>
        <w:tc>
          <w:tcPr>
            <w:tcW w:w="1067" w:type="pct"/>
            <w:shd w:val="clear" w:color="auto" w:fill="auto"/>
            <w:noWrap w:val="0"/>
            <w:vAlign w:val="center"/>
          </w:tcPr>
          <w:p>
            <w:pPr>
              <w:pStyle w:val="16"/>
              <w:rPr>
                <w:rFonts w:eastAsia="等线"/>
                <w:color w:val="auto"/>
              </w:rPr>
            </w:pPr>
            <w:r>
              <w:rPr>
                <w:rFonts w:eastAsia="等线"/>
                <w:color w:val="auto"/>
              </w:rPr>
              <w:t>　</w:t>
            </w:r>
          </w:p>
        </w:tc>
        <w:tc>
          <w:tcPr>
            <w:tcW w:w="1067" w:type="pct"/>
            <w:shd w:val="clear" w:color="auto" w:fill="auto"/>
            <w:noWrap w:val="0"/>
            <w:vAlign w:val="center"/>
          </w:tcPr>
          <w:p>
            <w:pPr>
              <w:pStyle w:val="16"/>
              <w:rPr>
                <w:rFonts w:eastAsia="等线"/>
                <w:color w:val="auto"/>
              </w:rPr>
            </w:pPr>
            <w:r>
              <w:rPr>
                <w:rFonts w:eastAsia="等线"/>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66" w:type="pct"/>
            <w:shd w:val="clear" w:color="auto" w:fill="auto"/>
            <w:noWrap w:val="0"/>
            <w:vAlign w:val="center"/>
          </w:tcPr>
          <w:p>
            <w:pPr>
              <w:pStyle w:val="16"/>
              <w:rPr>
                <w:rFonts w:eastAsia="等线"/>
                <w:color w:val="auto"/>
              </w:rPr>
            </w:pPr>
            <w:r>
              <w:rPr>
                <w:rFonts w:eastAsia="等线"/>
                <w:color w:val="auto"/>
              </w:rPr>
              <w:t>1</w:t>
            </w:r>
          </w:p>
        </w:tc>
        <w:tc>
          <w:tcPr>
            <w:tcW w:w="1798" w:type="pct"/>
            <w:shd w:val="clear" w:color="auto" w:fill="auto"/>
            <w:noWrap w:val="0"/>
            <w:vAlign w:val="center"/>
          </w:tcPr>
          <w:p>
            <w:pPr>
              <w:pStyle w:val="16"/>
              <w:rPr>
                <w:color w:val="auto"/>
              </w:rPr>
            </w:pPr>
            <w:r>
              <w:rPr>
                <w:color w:val="auto"/>
              </w:rPr>
              <w:t>道路边沟</w:t>
            </w:r>
          </w:p>
        </w:tc>
        <w:tc>
          <w:tcPr>
            <w:tcW w:w="1067" w:type="pct"/>
            <w:shd w:val="clear" w:color="auto" w:fill="auto"/>
            <w:noWrap w:val="0"/>
            <w:vAlign w:val="center"/>
          </w:tcPr>
          <w:p>
            <w:pPr>
              <w:pStyle w:val="16"/>
              <w:rPr>
                <w:rFonts w:eastAsia="等线"/>
                <w:color w:val="auto"/>
              </w:rPr>
            </w:pPr>
            <w:r>
              <w:rPr>
                <w:rFonts w:eastAsia="等线"/>
                <w:color w:val="auto"/>
              </w:rPr>
              <w:t>m</w:t>
            </w:r>
          </w:p>
        </w:tc>
        <w:tc>
          <w:tcPr>
            <w:tcW w:w="1067" w:type="pct"/>
            <w:shd w:val="clear" w:color="auto" w:fill="auto"/>
            <w:noWrap w:val="0"/>
            <w:vAlign w:val="center"/>
          </w:tcPr>
          <w:p>
            <w:pPr>
              <w:pStyle w:val="16"/>
              <w:rPr>
                <w:rFonts w:eastAsia="等线"/>
                <w:color w:val="auto"/>
              </w:rPr>
            </w:pPr>
            <w:r>
              <w:rPr>
                <w:rFonts w:eastAsia="等线"/>
                <w:color w:val="auto"/>
              </w:rPr>
              <w:t>3345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66" w:type="pct"/>
            <w:shd w:val="clear" w:color="auto" w:fill="auto"/>
            <w:noWrap w:val="0"/>
            <w:vAlign w:val="center"/>
          </w:tcPr>
          <w:p>
            <w:pPr>
              <w:pStyle w:val="16"/>
              <w:rPr>
                <w:rFonts w:eastAsia="等线"/>
                <w:color w:val="auto"/>
              </w:rPr>
            </w:pPr>
            <w:r>
              <w:rPr>
                <w:rFonts w:eastAsia="等线"/>
                <w:color w:val="auto"/>
              </w:rPr>
              <w:t>2</w:t>
            </w:r>
          </w:p>
        </w:tc>
        <w:tc>
          <w:tcPr>
            <w:tcW w:w="1798" w:type="pct"/>
            <w:shd w:val="clear" w:color="auto" w:fill="auto"/>
            <w:noWrap w:val="0"/>
            <w:vAlign w:val="center"/>
          </w:tcPr>
          <w:p>
            <w:pPr>
              <w:pStyle w:val="16"/>
              <w:rPr>
                <w:color w:val="auto"/>
              </w:rPr>
            </w:pPr>
            <w:r>
              <w:rPr>
                <w:color w:val="auto"/>
              </w:rPr>
              <w:t>骨架护坡</w:t>
            </w:r>
          </w:p>
        </w:tc>
        <w:tc>
          <w:tcPr>
            <w:tcW w:w="1067" w:type="pct"/>
            <w:shd w:val="clear" w:color="auto" w:fill="auto"/>
            <w:noWrap w:val="0"/>
            <w:vAlign w:val="center"/>
          </w:tcPr>
          <w:p>
            <w:pPr>
              <w:pStyle w:val="16"/>
              <w:rPr>
                <w:rFonts w:eastAsia="等线"/>
                <w:color w:val="auto"/>
              </w:rPr>
            </w:pPr>
            <w:r>
              <w:rPr>
                <w:rFonts w:eastAsia="等线"/>
                <w:color w:val="auto"/>
              </w:rPr>
              <w:t>hm</w:t>
            </w:r>
            <w:r>
              <w:rPr>
                <w:rFonts w:eastAsia="等线"/>
                <w:color w:val="auto"/>
                <w:vertAlign w:val="superscript"/>
              </w:rPr>
              <w:t>2</w:t>
            </w:r>
          </w:p>
        </w:tc>
        <w:tc>
          <w:tcPr>
            <w:tcW w:w="1067" w:type="pct"/>
            <w:shd w:val="clear" w:color="auto" w:fill="auto"/>
            <w:noWrap w:val="0"/>
            <w:vAlign w:val="center"/>
          </w:tcPr>
          <w:p>
            <w:pPr>
              <w:pStyle w:val="16"/>
              <w:rPr>
                <w:rFonts w:eastAsia="等线"/>
                <w:color w:val="auto"/>
              </w:rPr>
            </w:pPr>
            <w:r>
              <w:rPr>
                <w:rFonts w:eastAsia="等线"/>
                <w:color w:val="auto"/>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66" w:type="pct"/>
            <w:shd w:val="clear" w:color="auto" w:fill="auto"/>
            <w:noWrap w:val="0"/>
            <w:vAlign w:val="center"/>
          </w:tcPr>
          <w:p>
            <w:pPr>
              <w:pStyle w:val="16"/>
              <w:rPr>
                <w:rFonts w:eastAsia="等线"/>
                <w:color w:val="auto"/>
              </w:rPr>
            </w:pPr>
            <w:r>
              <w:rPr>
                <w:rFonts w:eastAsia="等线"/>
                <w:color w:val="auto"/>
              </w:rPr>
              <w:t>4</w:t>
            </w:r>
          </w:p>
        </w:tc>
        <w:tc>
          <w:tcPr>
            <w:tcW w:w="1798" w:type="pct"/>
            <w:shd w:val="clear" w:color="auto" w:fill="auto"/>
            <w:noWrap w:val="0"/>
            <w:vAlign w:val="center"/>
          </w:tcPr>
          <w:p>
            <w:pPr>
              <w:pStyle w:val="16"/>
              <w:rPr>
                <w:color w:val="auto"/>
              </w:rPr>
            </w:pPr>
            <w:r>
              <w:rPr>
                <w:color w:val="auto"/>
              </w:rPr>
              <w:t>沉砂池</w:t>
            </w:r>
          </w:p>
        </w:tc>
        <w:tc>
          <w:tcPr>
            <w:tcW w:w="1067" w:type="pct"/>
            <w:shd w:val="clear" w:color="auto" w:fill="auto"/>
            <w:noWrap w:val="0"/>
            <w:vAlign w:val="center"/>
          </w:tcPr>
          <w:p>
            <w:pPr>
              <w:pStyle w:val="16"/>
              <w:rPr>
                <w:rFonts w:ascii="宋体" w:hAnsi="宋体" w:eastAsia="宋体"/>
                <w:color w:val="auto"/>
              </w:rPr>
            </w:pPr>
            <w:r>
              <w:rPr>
                <w:rFonts w:ascii="宋体" w:hAnsi="宋体" w:eastAsia="宋体"/>
                <w:color w:val="auto"/>
              </w:rPr>
              <w:t>口</w:t>
            </w:r>
          </w:p>
        </w:tc>
        <w:tc>
          <w:tcPr>
            <w:tcW w:w="1067" w:type="pct"/>
            <w:shd w:val="clear" w:color="auto" w:fill="auto"/>
            <w:noWrap w:val="0"/>
            <w:vAlign w:val="center"/>
          </w:tcPr>
          <w:p>
            <w:pPr>
              <w:pStyle w:val="16"/>
              <w:rPr>
                <w:rFonts w:eastAsia="等线"/>
                <w:color w:val="auto"/>
              </w:rPr>
            </w:pPr>
            <w:r>
              <w:rPr>
                <w:rFonts w:eastAsia="等线"/>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66" w:type="pct"/>
            <w:shd w:val="clear" w:color="auto" w:fill="auto"/>
            <w:noWrap w:val="0"/>
            <w:vAlign w:val="center"/>
          </w:tcPr>
          <w:p>
            <w:pPr>
              <w:pStyle w:val="16"/>
              <w:rPr>
                <w:rFonts w:eastAsia="等线"/>
                <w:color w:val="auto"/>
              </w:rPr>
            </w:pPr>
            <w:r>
              <w:rPr>
                <w:rFonts w:eastAsia="等线"/>
                <w:color w:val="auto"/>
              </w:rPr>
              <w:t>5</w:t>
            </w:r>
          </w:p>
        </w:tc>
        <w:tc>
          <w:tcPr>
            <w:tcW w:w="1798" w:type="pct"/>
            <w:shd w:val="clear" w:color="auto" w:fill="auto"/>
            <w:noWrap w:val="0"/>
            <w:vAlign w:val="center"/>
          </w:tcPr>
          <w:p>
            <w:pPr>
              <w:pStyle w:val="16"/>
              <w:rPr>
                <w:color w:val="auto"/>
              </w:rPr>
            </w:pPr>
            <w:r>
              <w:rPr>
                <w:color w:val="auto"/>
              </w:rPr>
              <w:t>砖砌植物槽</w:t>
            </w:r>
          </w:p>
        </w:tc>
        <w:tc>
          <w:tcPr>
            <w:tcW w:w="1067" w:type="pct"/>
            <w:shd w:val="clear" w:color="auto" w:fill="auto"/>
            <w:noWrap w:val="0"/>
            <w:vAlign w:val="center"/>
          </w:tcPr>
          <w:p>
            <w:pPr>
              <w:pStyle w:val="16"/>
              <w:rPr>
                <w:rFonts w:eastAsia="等线"/>
                <w:color w:val="auto"/>
              </w:rPr>
            </w:pPr>
            <w:r>
              <w:rPr>
                <w:rFonts w:eastAsia="等线"/>
                <w:color w:val="auto"/>
              </w:rPr>
              <w:t>m</w:t>
            </w:r>
          </w:p>
        </w:tc>
        <w:tc>
          <w:tcPr>
            <w:tcW w:w="1067" w:type="pct"/>
            <w:shd w:val="clear" w:color="auto" w:fill="auto"/>
            <w:noWrap w:val="0"/>
            <w:vAlign w:val="center"/>
          </w:tcPr>
          <w:p>
            <w:pPr>
              <w:pStyle w:val="16"/>
              <w:rPr>
                <w:rFonts w:eastAsia="等线"/>
                <w:color w:val="auto"/>
              </w:rPr>
            </w:pPr>
            <w:r>
              <w:rPr>
                <w:rFonts w:eastAsia="等线"/>
                <w:color w:val="auto"/>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66" w:type="pct"/>
            <w:shd w:val="clear" w:color="auto" w:fill="auto"/>
            <w:noWrap w:val="0"/>
            <w:vAlign w:val="center"/>
          </w:tcPr>
          <w:p>
            <w:pPr>
              <w:pStyle w:val="16"/>
              <w:rPr>
                <w:rFonts w:eastAsia="等线"/>
                <w:color w:val="auto"/>
              </w:rPr>
            </w:pPr>
            <w:r>
              <w:rPr>
                <w:rFonts w:eastAsia="等线"/>
                <w:color w:val="auto"/>
              </w:rPr>
              <w:t>6</w:t>
            </w:r>
          </w:p>
        </w:tc>
        <w:tc>
          <w:tcPr>
            <w:tcW w:w="1798" w:type="pct"/>
            <w:shd w:val="clear" w:color="auto" w:fill="auto"/>
            <w:noWrap w:val="0"/>
            <w:vAlign w:val="center"/>
          </w:tcPr>
          <w:p>
            <w:pPr>
              <w:pStyle w:val="16"/>
              <w:rPr>
                <w:color w:val="auto"/>
              </w:rPr>
            </w:pPr>
            <w:r>
              <w:rPr>
                <w:color w:val="auto"/>
              </w:rPr>
              <w:t>雨水管</w:t>
            </w:r>
          </w:p>
        </w:tc>
        <w:tc>
          <w:tcPr>
            <w:tcW w:w="1067" w:type="pct"/>
            <w:shd w:val="clear" w:color="auto" w:fill="auto"/>
            <w:noWrap w:val="0"/>
            <w:vAlign w:val="center"/>
          </w:tcPr>
          <w:p>
            <w:pPr>
              <w:pStyle w:val="16"/>
              <w:rPr>
                <w:rFonts w:eastAsia="等线"/>
                <w:color w:val="auto"/>
              </w:rPr>
            </w:pPr>
            <w:r>
              <w:rPr>
                <w:rFonts w:eastAsia="等线"/>
                <w:color w:val="auto"/>
              </w:rPr>
              <w:t>m</w:t>
            </w:r>
          </w:p>
        </w:tc>
        <w:tc>
          <w:tcPr>
            <w:tcW w:w="1067" w:type="pct"/>
            <w:shd w:val="clear" w:color="auto" w:fill="auto"/>
            <w:noWrap w:val="0"/>
            <w:vAlign w:val="center"/>
          </w:tcPr>
          <w:p>
            <w:pPr>
              <w:pStyle w:val="16"/>
              <w:rPr>
                <w:rFonts w:eastAsia="等线"/>
                <w:color w:val="auto"/>
              </w:rPr>
            </w:pPr>
            <w:r>
              <w:rPr>
                <w:rFonts w:eastAsia="等线"/>
                <w:color w:val="auto"/>
              </w:rPr>
              <w:t>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66" w:type="pct"/>
            <w:shd w:val="clear" w:color="auto" w:fill="auto"/>
            <w:noWrap w:val="0"/>
            <w:vAlign w:val="center"/>
          </w:tcPr>
          <w:p>
            <w:pPr>
              <w:pStyle w:val="16"/>
              <w:rPr>
                <w:rFonts w:eastAsia="等线"/>
                <w:color w:val="auto"/>
              </w:rPr>
            </w:pPr>
            <w:r>
              <w:rPr>
                <w:rFonts w:eastAsia="等线"/>
                <w:color w:val="auto"/>
              </w:rPr>
              <w:t>7</w:t>
            </w:r>
          </w:p>
        </w:tc>
        <w:tc>
          <w:tcPr>
            <w:tcW w:w="1798" w:type="pct"/>
            <w:shd w:val="clear" w:color="auto" w:fill="auto"/>
            <w:noWrap w:val="0"/>
            <w:vAlign w:val="center"/>
          </w:tcPr>
          <w:p>
            <w:pPr>
              <w:pStyle w:val="16"/>
              <w:rPr>
                <w:color w:val="auto"/>
              </w:rPr>
            </w:pPr>
            <w:r>
              <w:rPr>
                <w:color w:val="auto"/>
              </w:rPr>
              <w:t>雨水井</w:t>
            </w:r>
          </w:p>
        </w:tc>
        <w:tc>
          <w:tcPr>
            <w:tcW w:w="1067" w:type="pct"/>
            <w:shd w:val="clear" w:color="auto" w:fill="auto"/>
            <w:noWrap w:val="0"/>
            <w:vAlign w:val="center"/>
          </w:tcPr>
          <w:p>
            <w:pPr>
              <w:pStyle w:val="16"/>
              <w:rPr>
                <w:rFonts w:eastAsia="等线"/>
                <w:color w:val="auto"/>
              </w:rPr>
            </w:pPr>
            <w:r>
              <w:rPr>
                <w:rFonts w:ascii="等线" w:eastAsia="等线"/>
                <w:color w:val="auto"/>
              </w:rPr>
              <w:t>口</w:t>
            </w:r>
          </w:p>
        </w:tc>
        <w:tc>
          <w:tcPr>
            <w:tcW w:w="1067" w:type="pct"/>
            <w:shd w:val="clear" w:color="auto" w:fill="auto"/>
            <w:noWrap w:val="0"/>
            <w:vAlign w:val="center"/>
          </w:tcPr>
          <w:p>
            <w:pPr>
              <w:pStyle w:val="16"/>
              <w:rPr>
                <w:rFonts w:eastAsia="等线"/>
                <w:color w:val="auto"/>
              </w:rPr>
            </w:pPr>
            <w:r>
              <w:rPr>
                <w:rFonts w:eastAsia="等线"/>
                <w:color w:val="auto"/>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66" w:type="pct"/>
            <w:shd w:val="clear" w:color="auto" w:fill="auto"/>
            <w:noWrap w:val="0"/>
            <w:vAlign w:val="center"/>
          </w:tcPr>
          <w:p>
            <w:pPr>
              <w:pStyle w:val="16"/>
              <w:rPr>
                <w:rFonts w:eastAsia="等线"/>
                <w:color w:val="auto"/>
              </w:rPr>
            </w:pPr>
            <w:r>
              <w:rPr>
                <w:rFonts w:eastAsia="等线"/>
                <w:color w:val="auto"/>
              </w:rPr>
              <w:t>8</w:t>
            </w:r>
          </w:p>
        </w:tc>
        <w:tc>
          <w:tcPr>
            <w:tcW w:w="1798" w:type="pct"/>
            <w:shd w:val="clear" w:color="auto" w:fill="auto"/>
            <w:noWrap w:val="0"/>
            <w:vAlign w:val="center"/>
          </w:tcPr>
          <w:p>
            <w:pPr>
              <w:pStyle w:val="16"/>
              <w:rPr>
                <w:color w:val="auto"/>
              </w:rPr>
            </w:pPr>
            <w:r>
              <w:rPr>
                <w:color w:val="auto"/>
              </w:rPr>
              <w:t>表土剥离</w:t>
            </w:r>
          </w:p>
        </w:tc>
        <w:tc>
          <w:tcPr>
            <w:tcW w:w="1067" w:type="pct"/>
            <w:shd w:val="clear" w:color="auto" w:fill="auto"/>
            <w:noWrap w:val="0"/>
            <w:vAlign w:val="center"/>
          </w:tcPr>
          <w:p>
            <w:pPr>
              <w:pStyle w:val="16"/>
              <w:rPr>
                <w:rFonts w:eastAsia="等线"/>
                <w:color w:val="auto"/>
              </w:rPr>
            </w:pPr>
            <w:r>
              <w:rPr>
                <w:rFonts w:eastAsia="等线"/>
                <w:color w:val="auto"/>
              </w:rPr>
              <w:t>m</w:t>
            </w:r>
            <w:r>
              <w:rPr>
                <w:rFonts w:eastAsia="等线"/>
                <w:color w:val="auto"/>
                <w:vertAlign w:val="superscript"/>
              </w:rPr>
              <w:t>3</w:t>
            </w:r>
          </w:p>
        </w:tc>
        <w:tc>
          <w:tcPr>
            <w:tcW w:w="1067" w:type="pct"/>
            <w:shd w:val="clear" w:color="auto" w:fill="auto"/>
            <w:noWrap w:val="0"/>
            <w:vAlign w:val="center"/>
          </w:tcPr>
          <w:p>
            <w:pPr>
              <w:pStyle w:val="16"/>
              <w:rPr>
                <w:rFonts w:eastAsia="等线"/>
                <w:color w:val="auto"/>
              </w:rPr>
            </w:pPr>
            <w:r>
              <w:rPr>
                <w:rFonts w:eastAsia="等线"/>
                <w:color w:val="auto"/>
              </w:rPr>
              <w:t>12310</w:t>
            </w:r>
          </w:p>
        </w:tc>
      </w:tr>
    </w:tbl>
    <w:p>
      <w:pPr>
        <w:ind w:left="0" w:leftChars="0" w:firstLine="0" w:firstLineChars="0"/>
        <w:rPr>
          <w:rFonts w:hint="eastAsia"/>
          <w:color w:val="auto"/>
          <w:lang w:eastAsia="zh-CN"/>
        </w:rPr>
      </w:pPr>
    </w:p>
    <w:p>
      <w:pPr>
        <w:pStyle w:val="3"/>
        <w:rPr>
          <w:rFonts w:hint="default"/>
          <w:color w:val="auto"/>
        </w:rPr>
      </w:pPr>
      <w:bookmarkStart w:id="135" w:name="_Toc17402"/>
      <w:r>
        <w:rPr>
          <w:rFonts w:hint="default"/>
          <w:color w:val="auto"/>
        </w:rPr>
        <w:t>4.</w:t>
      </w:r>
      <w:r>
        <w:rPr>
          <w:rFonts w:hint="eastAsia"/>
          <w:color w:val="auto"/>
          <w:lang w:val="en-US" w:eastAsia="zh-CN"/>
        </w:rPr>
        <w:t>3</w:t>
      </w:r>
      <w:r>
        <w:rPr>
          <w:rFonts w:hint="default"/>
          <w:color w:val="auto"/>
        </w:rPr>
        <w:t>水土保持措施防治效果</w:t>
      </w:r>
      <w:bookmarkEnd w:id="135"/>
    </w:p>
    <w:p>
      <w:pPr>
        <w:spacing w:line="360" w:lineRule="auto"/>
        <w:ind w:firstLine="480" w:firstLineChars="200"/>
        <w:contextualSpacing/>
        <w:rPr>
          <w:rFonts w:ascii="Times New Roman" w:hAnsi="Times New Roman" w:eastAsia="仿宋_GB2312"/>
          <w:color w:val="auto"/>
          <w:sz w:val="24"/>
          <w:szCs w:val="24"/>
        </w:rPr>
      </w:pPr>
      <w:bookmarkStart w:id="136" w:name="_Toc400530787"/>
      <w:bookmarkStart w:id="137" w:name="_Toc400529686"/>
      <w:bookmarkStart w:id="138" w:name="_Toc371174618"/>
      <w:bookmarkStart w:id="139" w:name="_Toc340923138"/>
      <w:bookmarkStart w:id="140" w:name="_Toc340925782"/>
      <w:r>
        <w:rPr>
          <w:rFonts w:ascii="Times New Roman" w:hAnsi="Times New Roman" w:eastAsia="仿宋_GB2312"/>
          <w:color w:val="auto"/>
          <w:sz w:val="24"/>
          <w:szCs w:val="24"/>
        </w:rPr>
        <w:t>本工程水土保持措施的实施基本按照水土保持方案设计进行，</w:t>
      </w:r>
      <w:r>
        <w:rPr>
          <w:rFonts w:hint="eastAsia"/>
          <w:color w:val="auto"/>
          <w:sz w:val="24"/>
          <w:szCs w:val="24"/>
          <w:lang w:eastAsia="zh-CN"/>
        </w:rPr>
        <w:t>并根据现场实际情况适当调整了</w:t>
      </w:r>
      <w:r>
        <w:rPr>
          <w:rFonts w:ascii="Times New Roman" w:hAnsi="Times New Roman" w:eastAsia="仿宋_GB2312"/>
          <w:color w:val="auto"/>
          <w:sz w:val="24"/>
          <w:szCs w:val="24"/>
        </w:rPr>
        <w:t>部分措施或措施工程量</w:t>
      </w:r>
      <w:r>
        <w:rPr>
          <w:rFonts w:hint="eastAsia"/>
          <w:color w:val="auto"/>
          <w:sz w:val="24"/>
          <w:szCs w:val="24"/>
          <w:lang w:eastAsia="zh-CN"/>
        </w:rPr>
        <w:t>，提高了项目区的绿化面积及绿化效果</w:t>
      </w:r>
      <w:r>
        <w:rPr>
          <w:rFonts w:ascii="Times New Roman" w:hAnsi="Times New Roman" w:eastAsia="仿宋_GB2312"/>
          <w:color w:val="auto"/>
          <w:sz w:val="24"/>
          <w:szCs w:val="24"/>
        </w:rPr>
        <w:t>。</w:t>
      </w:r>
    </w:p>
    <w:p>
      <w:pPr>
        <w:rPr>
          <w:rFonts w:hint="eastAsia"/>
          <w:color w:val="auto"/>
          <w:sz w:val="24"/>
          <w:szCs w:val="24"/>
          <w:lang w:eastAsia="zh-CN"/>
        </w:rPr>
      </w:pPr>
      <w:r>
        <w:rPr>
          <w:rFonts w:hint="eastAsia"/>
          <w:color w:val="auto"/>
          <w:sz w:val="24"/>
          <w:szCs w:val="24"/>
          <w:lang w:eastAsia="zh-CN"/>
        </w:rPr>
        <w:t>项目区部分水土保持措施防治效果如下：</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drawing>
          <wp:inline distT="0" distB="0" distL="114300" distR="114300">
            <wp:extent cx="5211445" cy="2931160"/>
            <wp:effectExtent l="0" t="0" r="8255" b="2540"/>
            <wp:docPr id="25" name="图片 26" descr="DJI_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descr="DJI_0093"/>
                    <pic:cNvPicPr>
                      <a:picLocks noChangeAspect="1"/>
                    </pic:cNvPicPr>
                  </pic:nvPicPr>
                  <pic:blipFill>
                    <a:blip r:embed="rId20"/>
                    <a:stretch>
                      <a:fillRect/>
                    </a:stretch>
                  </pic:blipFill>
                  <pic:spPr>
                    <a:xfrm>
                      <a:off x="0" y="0"/>
                      <a:ext cx="5211445" cy="2931160"/>
                    </a:xfrm>
                    <a:prstGeom prst="rect">
                      <a:avLst/>
                    </a:prstGeom>
                    <a:noFill/>
                    <a:ln>
                      <a:noFill/>
                    </a:ln>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t>项目区恢复情况</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drawing>
          <wp:inline distT="0" distB="0" distL="114300" distR="114300">
            <wp:extent cx="5211445" cy="2931160"/>
            <wp:effectExtent l="0" t="0" r="8255" b="2540"/>
            <wp:docPr id="27" name="图片 27" descr="DJI_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JI_0095"/>
                    <pic:cNvPicPr>
                      <a:picLocks noChangeAspect="1"/>
                    </pic:cNvPicPr>
                  </pic:nvPicPr>
                  <pic:blipFill>
                    <a:blip r:embed="rId21"/>
                    <a:stretch>
                      <a:fillRect/>
                    </a:stretch>
                  </pic:blipFill>
                  <pic:spPr>
                    <a:xfrm>
                      <a:off x="0" y="0"/>
                      <a:ext cx="5211445" cy="2931160"/>
                    </a:xfrm>
                    <a:prstGeom prst="rect">
                      <a:avLst/>
                    </a:prstGeom>
                    <a:noFill/>
                    <a:ln>
                      <a:noFill/>
                    </a:ln>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t>项目区恢复情况</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drawing>
          <wp:inline distT="0" distB="0" distL="114300" distR="114300">
            <wp:extent cx="5211445" cy="2931160"/>
            <wp:effectExtent l="0" t="0" r="8255" b="2540"/>
            <wp:docPr id="26" name="图片 28" descr="DJI_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8" descr="DJI_0098"/>
                    <pic:cNvPicPr>
                      <a:picLocks noChangeAspect="1"/>
                    </pic:cNvPicPr>
                  </pic:nvPicPr>
                  <pic:blipFill>
                    <a:blip r:embed="rId22"/>
                    <a:stretch>
                      <a:fillRect/>
                    </a:stretch>
                  </pic:blipFill>
                  <pic:spPr>
                    <a:xfrm>
                      <a:off x="0" y="0"/>
                      <a:ext cx="5211445" cy="2931160"/>
                    </a:xfrm>
                    <a:prstGeom prst="rect">
                      <a:avLst/>
                    </a:prstGeom>
                    <a:noFill/>
                    <a:ln>
                      <a:noFill/>
                    </a:ln>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t>项目区恢复情况</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drawing>
          <wp:inline distT="0" distB="0" distL="114300" distR="114300">
            <wp:extent cx="5211445" cy="2931160"/>
            <wp:effectExtent l="0" t="0" r="8255" b="2540"/>
            <wp:docPr id="28" name="图片 29" descr="DJI_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9" descr="DJI_0102"/>
                    <pic:cNvPicPr>
                      <a:picLocks noChangeAspect="1"/>
                    </pic:cNvPicPr>
                  </pic:nvPicPr>
                  <pic:blipFill>
                    <a:blip r:embed="rId23"/>
                    <a:stretch>
                      <a:fillRect/>
                    </a:stretch>
                  </pic:blipFill>
                  <pic:spPr>
                    <a:xfrm>
                      <a:off x="0" y="0"/>
                      <a:ext cx="5211445" cy="2931160"/>
                    </a:xfrm>
                    <a:prstGeom prst="rect">
                      <a:avLst/>
                    </a:prstGeom>
                    <a:noFill/>
                    <a:ln>
                      <a:noFill/>
                    </a:ln>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t>项目区恢复情况</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drawing>
          <wp:inline distT="0" distB="0" distL="114300" distR="114300">
            <wp:extent cx="5211445" cy="2931160"/>
            <wp:effectExtent l="0" t="0" r="8255" b="2540"/>
            <wp:docPr id="31" name="图片 30" descr="DJI_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DJI_0104"/>
                    <pic:cNvPicPr>
                      <a:picLocks noChangeAspect="1"/>
                    </pic:cNvPicPr>
                  </pic:nvPicPr>
                  <pic:blipFill>
                    <a:blip r:embed="rId24"/>
                    <a:stretch>
                      <a:fillRect/>
                    </a:stretch>
                  </pic:blipFill>
                  <pic:spPr>
                    <a:xfrm>
                      <a:off x="0" y="0"/>
                      <a:ext cx="5211445" cy="2931160"/>
                    </a:xfrm>
                    <a:prstGeom prst="rect">
                      <a:avLst/>
                    </a:prstGeom>
                    <a:noFill/>
                    <a:ln>
                      <a:noFill/>
                    </a:ln>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t>项目区恢复情况</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drawing>
          <wp:inline distT="0" distB="0" distL="114300" distR="114300">
            <wp:extent cx="5211445" cy="2931160"/>
            <wp:effectExtent l="0" t="0" r="8255" b="2540"/>
            <wp:docPr id="33" name="图片 31" descr="DJI_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descr="DJI_0105"/>
                    <pic:cNvPicPr>
                      <a:picLocks noChangeAspect="1"/>
                    </pic:cNvPicPr>
                  </pic:nvPicPr>
                  <pic:blipFill>
                    <a:blip r:embed="rId25"/>
                    <a:stretch>
                      <a:fillRect/>
                    </a:stretch>
                  </pic:blipFill>
                  <pic:spPr>
                    <a:xfrm>
                      <a:off x="0" y="0"/>
                      <a:ext cx="5211445" cy="2931160"/>
                    </a:xfrm>
                    <a:prstGeom prst="rect">
                      <a:avLst/>
                    </a:prstGeom>
                    <a:noFill/>
                    <a:ln>
                      <a:noFill/>
                    </a:ln>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t>项目区恢复情况</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drawing>
          <wp:inline distT="0" distB="0" distL="114300" distR="114300">
            <wp:extent cx="5211445" cy="2931160"/>
            <wp:effectExtent l="0" t="0" r="8255" b="2540"/>
            <wp:docPr id="34" name="图片 32" descr="DJI_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descr="DJI_0107"/>
                    <pic:cNvPicPr>
                      <a:picLocks noChangeAspect="1"/>
                    </pic:cNvPicPr>
                  </pic:nvPicPr>
                  <pic:blipFill>
                    <a:blip r:embed="rId26"/>
                    <a:stretch>
                      <a:fillRect/>
                    </a:stretch>
                  </pic:blipFill>
                  <pic:spPr>
                    <a:xfrm>
                      <a:off x="0" y="0"/>
                      <a:ext cx="5211445" cy="2931160"/>
                    </a:xfrm>
                    <a:prstGeom prst="rect">
                      <a:avLst/>
                    </a:prstGeom>
                    <a:noFill/>
                    <a:ln>
                      <a:noFill/>
                    </a:ln>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t>项目区恢复情况</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drawing>
          <wp:inline distT="0" distB="0" distL="114300" distR="114300">
            <wp:extent cx="5211445" cy="2931160"/>
            <wp:effectExtent l="0" t="0" r="8255" b="2540"/>
            <wp:docPr id="35" name="图片 33" descr="DJI_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descr="DJI_0108"/>
                    <pic:cNvPicPr>
                      <a:picLocks noChangeAspect="1"/>
                    </pic:cNvPicPr>
                  </pic:nvPicPr>
                  <pic:blipFill>
                    <a:blip r:embed="rId27"/>
                    <a:stretch>
                      <a:fillRect/>
                    </a:stretch>
                  </pic:blipFill>
                  <pic:spPr>
                    <a:xfrm>
                      <a:off x="0" y="0"/>
                      <a:ext cx="5211445" cy="2931160"/>
                    </a:xfrm>
                    <a:prstGeom prst="rect">
                      <a:avLst/>
                    </a:prstGeom>
                    <a:noFill/>
                    <a:ln>
                      <a:noFill/>
                    </a:ln>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t>项目区恢复情况</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drawing>
          <wp:inline distT="0" distB="0" distL="114300" distR="114300">
            <wp:extent cx="5211445" cy="2931160"/>
            <wp:effectExtent l="0" t="0" r="8255" b="2540"/>
            <wp:docPr id="36" name="图片 34" descr="DJI_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descr="DJI_0114"/>
                    <pic:cNvPicPr>
                      <a:picLocks noChangeAspect="1"/>
                    </pic:cNvPicPr>
                  </pic:nvPicPr>
                  <pic:blipFill>
                    <a:blip r:embed="rId28"/>
                    <a:stretch>
                      <a:fillRect/>
                    </a:stretch>
                  </pic:blipFill>
                  <pic:spPr>
                    <a:xfrm>
                      <a:off x="0" y="0"/>
                      <a:ext cx="5211445" cy="2931160"/>
                    </a:xfrm>
                    <a:prstGeom prst="rect">
                      <a:avLst/>
                    </a:prstGeom>
                    <a:noFill/>
                    <a:ln>
                      <a:noFill/>
                    </a:ln>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t>项目区恢复情况</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drawing>
          <wp:inline distT="0" distB="0" distL="114300" distR="114300">
            <wp:extent cx="5211445" cy="2931160"/>
            <wp:effectExtent l="0" t="0" r="8255" b="2540"/>
            <wp:docPr id="37" name="图片 35" descr="DJI_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descr="DJI_0123"/>
                    <pic:cNvPicPr>
                      <a:picLocks noChangeAspect="1"/>
                    </pic:cNvPicPr>
                  </pic:nvPicPr>
                  <pic:blipFill>
                    <a:blip r:embed="rId29"/>
                    <a:stretch>
                      <a:fillRect/>
                    </a:stretch>
                  </pic:blipFill>
                  <pic:spPr>
                    <a:xfrm>
                      <a:off x="0" y="0"/>
                      <a:ext cx="5211445" cy="2931160"/>
                    </a:xfrm>
                    <a:prstGeom prst="rect">
                      <a:avLst/>
                    </a:prstGeom>
                    <a:noFill/>
                    <a:ln>
                      <a:noFill/>
                    </a:ln>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t>项目区恢复情况</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drawing>
          <wp:inline distT="0" distB="0" distL="114300" distR="114300">
            <wp:extent cx="5211445" cy="2931160"/>
            <wp:effectExtent l="0" t="0" r="8255" b="2540"/>
            <wp:docPr id="38" name="图片 36" descr="DJI_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 descr="DJI_0128"/>
                    <pic:cNvPicPr>
                      <a:picLocks noChangeAspect="1"/>
                    </pic:cNvPicPr>
                  </pic:nvPicPr>
                  <pic:blipFill>
                    <a:blip r:embed="rId30"/>
                    <a:stretch>
                      <a:fillRect/>
                    </a:stretch>
                  </pic:blipFill>
                  <pic:spPr>
                    <a:xfrm>
                      <a:off x="0" y="0"/>
                      <a:ext cx="5211445" cy="2931160"/>
                    </a:xfrm>
                    <a:prstGeom prst="rect">
                      <a:avLst/>
                    </a:prstGeom>
                    <a:noFill/>
                    <a:ln>
                      <a:noFill/>
                    </a:ln>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t>项目区恢复情况</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drawing>
          <wp:inline distT="0" distB="0" distL="114300" distR="114300">
            <wp:extent cx="5211445" cy="2931160"/>
            <wp:effectExtent l="0" t="0" r="8255" b="2540"/>
            <wp:docPr id="39" name="图片 37" descr="DJI_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7" descr="DJI_0139"/>
                    <pic:cNvPicPr>
                      <a:picLocks noChangeAspect="1"/>
                    </pic:cNvPicPr>
                  </pic:nvPicPr>
                  <pic:blipFill>
                    <a:blip r:embed="rId31"/>
                    <a:stretch>
                      <a:fillRect/>
                    </a:stretch>
                  </pic:blipFill>
                  <pic:spPr>
                    <a:xfrm>
                      <a:off x="0" y="0"/>
                      <a:ext cx="5211445" cy="2931160"/>
                    </a:xfrm>
                    <a:prstGeom prst="rect">
                      <a:avLst/>
                    </a:prstGeom>
                    <a:noFill/>
                    <a:ln>
                      <a:noFill/>
                    </a:ln>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t>项目区恢复情况</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drawing>
          <wp:inline distT="0" distB="0" distL="114300" distR="114300">
            <wp:extent cx="5273675" cy="3955415"/>
            <wp:effectExtent l="0" t="0" r="3175" b="6985"/>
            <wp:docPr id="40" name="图片 38" descr="IMG_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descr="IMG_4091"/>
                    <pic:cNvPicPr>
                      <a:picLocks noChangeAspect="1"/>
                    </pic:cNvPicPr>
                  </pic:nvPicPr>
                  <pic:blipFill>
                    <a:blip r:embed="rId32"/>
                    <a:stretch>
                      <a:fillRect/>
                    </a:stretch>
                  </pic:blipFill>
                  <pic:spPr>
                    <a:xfrm>
                      <a:off x="0" y="0"/>
                      <a:ext cx="5273675" cy="3955415"/>
                    </a:xfrm>
                    <a:prstGeom prst="rect">
                      <a:avLst/>
                    </a:prstGeom>
                    <a:noFill/>
                    <a:ln>
                      <a:noFill/>
                    </a:ln>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t>工程措施和植物措施防治效果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drawing>
          <wp:inline distT="0" distB="0" distL="114300" distR="114300">
            <wp:extent cx="5273675" cy="3955415"/>
            <wp:effectExtent l="0" t="0" r="3175" b="6985"/>
            <wp:docPr id="41" name="图片 39" descr="IMG_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descr="IMG_4092"/>
                    <pic:cNvPicPr>
                      <a:picLocks noChangeAspect="1"/>
                    </pic:cNvPicPr>
                  </pic:nvPicPr>
                  <pic:blipFill>
                    <a:blip r:embed="rId33"/>
                    <a:stretch>
                      <a:fillRect/>
                    </a:stretch>
                  </pic:blipFill>
                  <pic:spPr>
                    <a:xfrm>
                      <a:off x="0" y="0"/>
                      <a:ext cx="5273675" cy="3955415"/>
                    </a:xfrm>
                    <a:prstGeom prst="rect">
                      <a:avLst/>
                    </a:prstGeom>
                    <a:noFill/>
                    <a:ln>
                      <a:noFill/>
                    </a:ln>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t>工程措施和植物措施防治效果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drawing>
          <wp:inline distT="0" distB="0" distL="114300" distR="114300">
            <wp:extent cx="5273675" cy="3955415"/>
            <wp:effectExtent l="0" t="0" r="3175" b="6985"/>
            <wp:docPr id="42" name="图片 40" descr="IMG_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0" descr="IMG_4093"/>
                    <pic:cNvPicPr>
                      <a:picLocks noChangeAspect="1"/>
                    </pic:cNvPicPr>
                  </pic:nvPicPr>
                  <pic:blipFill>
                    <a:blip r:embed="rId34"/>
                    <a:stretch>
                      <a:fillRect/>
                    </a:stretch>
                  </pic:blipFill>
                  <pic:spPr>
                    <a:xfrm>
                      <a:off x="0" y="0"/>
                      <a:ext cx="5273675" cy="3955415"/>
                    </a:xfrm>
                    <a:prstGeom prst="rect">
                      <a:avLst/>
                    </a:prstGeom>
                    <a:noFill/>
                    <a:ln>
                      <a:noFill/>
                    </a:ln>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t>工程措施和植物措施防治效果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drawing>
          <wp:inline distT="0" distB="0" distL="114300" distR="114300">
            <wp:extent cx="5273675" cy="3955415"/>
            <wp:effectExtent l="0" t="0" r="3175" b="6985"/>
            <wp:docPr id="43" name="图片 41" descr="IMG_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1" descr="IMG_4095"/>
                    <pic:cNvPicPr>
                      <a:picLocks noChangeAspect="1"/>
                    </pic:cNvPicPr>
                  </pic:nvPicPr>
                  <pic:blipFill>
                    <a:blip r:embed="rId35"/>
                    <a:stretch>
                      <a:fillRect/>
                    </a:stretch>
                  </pic:blipFill>
                  <pic:spPr>
                    <a:xfrm>
                      <a:off x="0" y="0"/>
                      <a:ext cx="5273675" cy="3955415"/>
                    </a:xfrm>
                    <a:prstGeom prst="rect">
                      <a:avLst/>
                    </a:prstGeom>
                    <a:noFill/>
                    <a:ln>
                      <a:noFill/>
                    </a:ln>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t>工程措施和植物措施防治效果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drawing>
          <wp:inline distT="0" distB="0" distL="114300" distR="114300">
            <wp:extent cx="5273675" cy="3955415"/>
            <wp:effectExtent l="0" t="0" r="3175" b="6985"/>
            <wp:docPr id="44" name="图片 42" descr="IMG_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2" descr="IMG_4098"/>
                    <pic:cNvPicPr>
                      <a:picLocks noChangeAspect="1"/>
                    </pic:cNvPicPr>
                  </pic:nvPicPr>
                  <pic:blipFill>
                    <a:blip r:embed="rId36"/>
                    <a:stretch>
                      <a:fillRect/>
                    </a:stretch>
                  </pic:blipFill>
                  <pic:spPr>
                    <a:xfrm>
                      <a:off x="0" y="0"/>
                      <a:ext cx="5273675" cy="3955415"/>
                    </a:xfrm>
                    <a:prstGeom prst="rect">
                      <a:avLst/>
                    </a:prstGeom>
                    <a:noFill/>
                    <a:ln>
                      <a:noFill/>
                    </a:ln>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t>工程措施和植物措施防治效果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drawing>
          <wp:inline distT="0" distB="0" distL="114300" distR="114300">
            <wp:extent cx="5273675" cy="3955415"/>
            <wp:effectExtent l="0" t="0" r="3175" b="6985"/>
            <wp:docPr id="45" name="图片 43" descr="IMG_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3" descr="IMG_4099"/>
                    <pic:cNvPicPr>
                      <a:picLocks noChangeAspect="1"/>
                    </pic:cNvPicPr>
                  </pic:nvPicPr>
                  <pic:blipFill>
                    <a:blip r:embed="rId37"/>
                    <a:stretch>
                      <a:fillRect/>
                    </a:stretch>
                  </pic:blipFill>
                  <pic:spPr>
                    <a:xfrm>
                      <a:off x="0" y="0"/>
                      <a:ext cx="5273675" cy="3955415"/>
                    </a:xfrm>
                    <a:prstGeom prst="rect">
                      <a:avLst/>
                    </a:prstGeom>
                    <a:noFill/>
                    <a:ln>
                      <a:noFill/>
                    </a:ln>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t>工程措施和植物措施防治效果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drawing>
          <wp:inline distT="0" distB="0" distL="114300" distR="114300">
            <wp:extent cx="5273675" cy="3955415"/>
            <wp:effectExtent l="0" t="0" r="3175" b="6985"/>
            <wp:docPr id="46" name="图片 44" descr="IMG_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4" descr="IMG_4101"/>
                    <pic:cNvPicPr>
                      <a:picLocks noChangeAspect="1"/>
                    </pic:cNvPicPr>
                  </pic:nvPicPr>
                  <pic:blipFill>
                    <a:blip r:embed="rId38"/>
                    <a:stretch>
                      <a:fillRect/>
                    </a:stretch>
                  </pic:blipFill>
                  <pic:spPr>
                    <a:xfrm>
                      <a:off x="0" y="0"/>
                      <a:ext cx="5273675" cy="3955415"/>
                    </a:xfrm>
                    <a:prstGeom prst="rect">
                      <a:avLst/>
                    </a:prstGeom>
                    <a:noFill/>
                    <a:ln>
                      <a:noFill/>
                    </a:ln>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pPr>
      <w:r>
        <w:rPr>
          <w:rFonts w:hint="default"/>
          <w:color w:val="auto"/>
        </w:rPr>
        <w:t>工程措施和植物措施防治效果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outlineLvl w:val="9"/>
        <w:rPr>
          <w:rFonts w:hint="default"/>
          <w:color w:val="auto"/>
        </w:rPr>
        <w:sectPr>
          <w:headerReference r:id="rId12" w:type="default"/>
          <w:pgSz w:w="11906" w:h="16838"/>
          <w:pgMar w:top="1440" w:right="1418" w:bottom="1440" w:left="1701" w:header="851" w:footer="992" w:gutter="0"/>
          <w:pgBorders>
            <w:top w:val="none" w:sz="0" w:space="0"/>
            <w:left w:val="none" w:sz="0" w:space="0"/>
            <w:bottom w:val="none" w:sz="0" w:space="0"/>
            <w:right w:val="none" w:sz="0" w:space="0"/>
          </w:pgBorders>
          <w:pgNumType w:fmt="decimal"/>
          <w:cols w:space="720" w:num="1"/>
          <w:docGrid w:linePitch="326" w:charSpace="0"/>
        </w:sectPr>
      </w:pPr>
    </w:p>
    <w:p>
      <w:pPr>
        <w:pStyle w:val="2"/>
        <w:rPr>
          <w:rFonts w:hint="default"/>
          <w:color w:val="auto"/>
        </w:rPr>
      </w:pPr>
      <w:bookmarkStart w:id="141" w:name="_Toc23914"/>
      <w:r>
        <w:rPr>
          <w:rFonts w:hint="default"/>
          <w:color w:val="auto"/>
        </w:rPr>
        <w:t>5 土壤流失量分析</w:t>
      </w:r>
      <w:bookmarkEnd w:id="141"/>
    </w:p>
    <w:p>
      <w:pPr>
        <w:pStyle w:val="3"/>
        <w:rPr>
          <w:rFonts w:hint="default"/>
          <w:color w:val="auto"/>
        </w:rPr>
      </w:pPr>
      <w:bookmarkStart w:id="142" w:name="_Toc306196922"/>
      <w:bookmarkStart w:id="143" w:name="_Toc430627100"/>
      <w:bookmarkStart w:id="144" w:name="_Toc433701520"/>
      <w:bookmarkStart w:id="145" w:name="_Toc3853"/>
      <w:r>
        <w:rPr>
          <w:rFonts w:hint="default"/>
          <w:color w:val="auto"/>
        </w:rPr>
        <w:t>5.1</w:t>
      </w:r>
      <w:bookmarkEnd w:id="142"/>
      <w:r>
        <w:rPr>
          <w:rFonts w:hint="default"/>
          <w:color w:val="auto"/>
        </w:rPr>
        <w:t>水土流失面积</w:t>
      </w:r>
      <w:bookmarkEnd w:id="143"/>
      <w:bookmarkEnd w:id="144"/>
      <w:bookmarkEnd w:id="145"/>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_GB2312" w:cs="Times New Roman"/>
          <w:color w:val="auto"/>
          <w:spacing w:val="0"/>
          <w:sz w:val="24"/>
        </w:rPr>
      </w:pPr>
      <w:r>
        <w:rPr>
          <w:rFonts w:hint="eastAsia"/>
          <w:color w:val="auto"/>
          <w:lang w:eastAsia="zh-CN"/>
        </w:rPr>
        <w:t>根据本项目</w:t>
      </w:r>
      <w:r>
        <w:rPr>
          <w:rFonts w:hint="eastAsia"/>
          <w:color w:val="auto"/>
          <w:lang w:val="en-US" w:eastAsia="zh-CN"/>
        </w:rPr>
        <w:t>建设区扰动面积</w:t>
      </w:r>
      <w:r>
        <w:rPr>
          <w:rFonts w:hint="eastAsia"/>
          <w:color w:val="auto"/>
          <w:lang w:eastAsia="zh-CN"/>
        </w:rPr>
        <w:t>为</w:t>
      </w:r>
      <w:r>
        <w:rPr>
          <w:rFonts w:hint="eastAsia"/>
          <w:color w:val="auto"/>
          <w:lang w:val="en-US" w:eastAsia="zh-CN"/>
        </w:rPr>
        <w:t>5.43</w:t>
      </w:r>
      <w:r>
        <w:rPr>
          <w:rFonts w:hint="eastAsia"/>
          <w:color w:val="auto"/>
          <w:lang w:eastAsia="zh-CN"/>
        </w:rPr>
        <w:t>hm</w:t>
      </w:r>
      <w:r>
        <w:rPr>
          <w:rFonts w:hint="eastAsia"/>
          <w:color w:val="auto"/>
          <w:vertAlign w:val="superscript"/>
          <w:lang w:val="en-US" w:eastAsia="zh-CN"/>
        </w:rPr>
        <w:t>2</w:t>
      </w:r>
      <w:r>
        <w:rPr>
          <w:rFonts w:hint="eastAsia"/>
          <w:color w:val="auto"/>
          <w:lang w:eastAsia="zh-CN"/>
        </w:rPr>
        <w:t>，其中</w:t>
      </w:r>
      <w:r>
        <w:rPr>
          <w:rFonts w:hint="eastAsia"/>
          <w:color w:val="auto"/>
          <w:lang w:val="en-US" w:eastAsia="zh-CN"/>
        </w:rPr>
        <w:t>永久建筑面积为3.44</w:t>
      </w:r>
      <w:r>
        <w:rPr>
          <w:rFonts w:hint="eastAsia"/>
          <w:color w:val="auto"/>
          <w:lang w:eastAsia="zh-CN"/>
        </w:rPr>
        <w:t>hm</w:t>
      </w:r>
      <w:r>
        <w:rPr>
          <w:rFonts w:hint="eastAsia"/>
          <w:color w:val="auto"/>
          <w:vertAlign w:val="superscript"/>
          <w:lang w:val="en-US" w:eastAsia="zh-CN"/>
        </w:rPr>
        <w:t>2</w:t>
      </w:r>
      <w:r>
        <w:rPr>
          <w:rFonts w:hint="eastAsia"/>
          <w:color w:val="auto"/>
          <w:lang w:eastAsia="zh-CN"/>
        </w:rPr>
        <w:t>，</w:t>
      </w:r>
      <w:r>
        <w:rPr>
          <w:rFonts w:hint="eastAsia"/>
          <w:color w:val="auto"/>
          <w:lang w:val="en-US" w:eastAsia="zh-CN"/>
        </w:rPr>
        <w:t>水土流失面积为1.99</w:t>
      </w:r>
      <w:r>
        <w:rPr>
          <w:rFonts w:hint="eastAsia"/>
          <w:color w:val="auto"/>
          <w:lang w:eastAsia="zh-CN"/>
        </w:rPr>
        <w:t>hm</w:t>
      </w:r>
      <w:r>
        <w:rPr>
          <w:rFonts w:hint="eastAsia"/>
          <w:color w:val="auto"/>
          <w:vertAlign w:val="superscript"/>
          <w:lang w:val="en-US" w:eastAsia="zh-CN"/>
        </w:rPr>
        <w:t>2</w:t>
      </w:r>
      <w:r>
        <w:rPr>
          <w:rFonts w:hint="eastAsia"/>
          <w:color w:val="auto"/>
          <w:lang w:eastAsia="zh-CN"/>
        </w:rPr>
        <w:t>。</w:t>
      </w:r>
      <w:r>
        <w:rPr>
          <w:rFonts w:hint="default" w:ascii="Times New Roman" w:hAnsi="Times New Roman" w:eastAsia="仿宋_GB2312" w:cs="Times New Roman"/>
          <w:color w:val="auto"/>
          <w:spacing w:val="0"/>
          <w:sz w:val="24"/>
        </w:rPr>
        <w:t>详见表5-1。</w:t>
      </w:r>
    </w:p>
    <w:p>
      <w:pPr>
        <w:pStyle w:val="17"/>
        <w:rPr>
          <w:rFonts w:hint="eastAsia"/>
          <w:color w:val="auto"/>
          <w:lang w:eastAsia="zh-CN"/>
        </w:rPr>
      </w:pPr>
      <w:r>
        <w:rPr>
          <w:rFonts w:hint="default"/>
          <w:color w:val="auto"/>
        </w:rPr>
        <w:t>表5-1      项目建设区水土流失面积表    单位：h</w:t>
      </w:r>
      <w:r>
        <w:rPr>
          <w:rFonts w:hint="eastAsia"/>
          <w:color w:val="auto"/>
          <w:lang w:eastAsia="zh-CN"/>
        </w:rPr>
        <w:t>m</w:t>
      </w:r>
      <w:r>
        <w:rPr>
          <w:rFonts w:hint="eastAsia"/>
          <w:color w:val="auto"/>
          <w:vertAlign w:val="superscript"/>
          <w:lang w:val="en-US" w:eastAsia="zh-CN"/>
        </w:rPr>
        <w:t>2</w:t>
      </w:r>
    </w:p>
    <w:tbl>
      <w:tblPr>
        <w:tblStyle w:val="11"/>
        <w:tblW w:w="8817" w:type="dxa"/>
        <w:tblInd w:w="0" w:type="dxa"/>
        <w:shd w:val="clear" w:color="auto" w:fill="auto"/>
        <w:tblLayout w:type="fixed"/>
        <w:tblCellMar>
          <w:top w:w="0" w:type="dxa"/>
          <w:left w:w="0" w:type="dxa"/>
          <w:bottom w:w="0" w:type="dxa"/>
          <w:right w:w="0" w:type="dxa"/>
        </w:tblCellMar>
      </w:tblPr>
      <w:tblGrid>
        <w:gridCol w:w="2204"/>
        <w:gridCol w:w="2205"/>
        <w:gridCol w:w="2204"/>
        <w:gridCol w:w="2204"/>
      </w:tblGrid>
      <w:tr>
        <w:tblPrEx>
          <w:shd w:val="clear" w:color="auto" w:fill="auto"/>
          <w:tblCellMar>
            <w:top w:w="0" w:type="dxa"/>
            <w:left w:w="0" w:type="dxa"/>
            <w:bottom w:w="0" w:type="dxa"/>
            <w:right w:w="0" w:type="dxa"/>
          </w:tblCellMar>
        </w:tblPrEx>
        <w:trPr>
          <w:trHeight w:val="270" w:hRule="atLeast"/>
        </w:trPr>
        <w:tc>
          <w:tcPr>
            <w:tcW w:w="220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default"/>
                <w:color w:val="auto"/>
              </w:rPr>
            </w:pPr>
            <w:r>
              <w:rPr>
                <w:rFonts w:hint="default"/>
                <w:color w:val="auto"/>
                <w:lang w:val="en-US" w:eastAsia="zh-CN"/>
              </w:rPr>
              <w:t>项目区</w:t>
            </w:r>
          </w:p>
        </w:tc>
        <w:tc>
          <w:tcPr>
            <w:tcW w:w="220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default"/>
                <w:color w:val="auto"/>
              </w:rPr>
            </w:pPr>
            <w:r>
              <w:rPr>
                <w:rFonts w:hint="default"/>
                <w:color w:val="auto"/>
                <w:lang w:val="en-US" w:eastAsia="zh-CN"/>
              </w:rPr>
              <w:t>项目建设扰动面积</w:t>
            </w:r>
          </w:p>
        </w:tc>
        <w:tc>
          <w:tcPr>
            <w:tcW w:w="220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default"/>
                <w:color w:val="auto"/>
              </w:rPr>
            </w:pPr>
            <w:r>
              <w:rPr>
                <w:rFonts w:hint="default"/>
                <w:color w:val="auto"/>
                <w:lang w:val="en-US" w:eastAsia="zh-CN"/>
              </w:rPr>
              <w:t>永久建筑面积</w:t>
            </w:r>
          </w:p>
        </w:tc>
        <w:tc>
          <w:tcPr>
            <w:tcW w:w="220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eastAsia"/>
                <w:color w:val="auto"/>
              </w:rPr>
            </w:pPr>
            <w:r>
              <w:rPr>
                <w:rFonts w:hint="eastAsia"/>
                <w:color w:val="auto"/>
                <w:lang w:val="en-US" w:eastAsia="zh-CN"/>
              </w:rPr>
              <w:t>水土流失面积</w:t>
            </w:r>
          </w:p>
        </w:tc>
      </w:tr>
      <w:tr>
        <w:tblPrEx>
          <w:tblCellMar>
            <w:top w:w="0" w:type="dxa"/>
            <w:left w:w="0" w:type="dxa"/>
            <w:bottom w:w="0" w:type="dxa"/>
            <w:right w:w="0" w:type="dxa"/>
          </w:tblCellMar>
        </w:tblPrEx>
        <w:trPr>
          <w:trHeight w:val="270" w:hRule="atLeast"/>
        </w:trPr>
        <w:tc>
          <w:tcPr>
            <w:tcW w:w="220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default"/>
                <w:color w:val="auto"/>
              </w:rPr>
            </w:pPr>
          </w:p>
        </w:tc>
        <w:tc>
          <w:tcPr>
            <w:tcW w:w="2205"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default"/>
                <w:color w:val="auto"/>
              </w:rPr>
            </w:pPr>
          </w:p>
        </w:tc>
        <w:tc>
          <w:tcPr>
            <w:tcW w:w="220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default"/>
                <w:color w:val="auto"/>
              </w:rPr>
            </w:pPr>
          </w:p>
        </w:tc>
        <w:tc>
          <w:tcPr>
            <w:tcW w:w="220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eastAsia"/>
                <w:color w:val="auto"/>
              </w:rPr>
            </w:pPr>
          </w:p>
        </w:tc>
      </w:tr>
      <w:tr>
        <w:tblPrEx>
          <w:tblCellMar>
            <w:top w:w="0" w:type="dxa"/>
            <w:left w:w="0" w:type="dxa"/>
            <w:bottom w:w="0" w:type="dxa"/>
            <w:right w:w="0" w:type="dxa"/>
          </w:tblCellMar>
        </w:tblPrEx>
        <w:trPr>
          <w:trHeight w:val="540" w:hRule="atLeast"/>
        </w:trPr>
        <w:tc>
          <w:tcPr>
            <w:tcW w:w="220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default"/>
                <w:color w:val="auto"/>
              </w:rPr>
            </w:pPr>
            <w:r>
              <w:rPr>
                <w:rFonts w:hint="default"/>
                <w:color w:val="auto"/>
                <w:lang w:val="en-US" w:eastAsia="zh-CN"/>
              </w:rPr>
              <w:t>路基工程区</w:t>
            </w:r>
          </w:p>
        </w:tc>
        <w:tc>
          <w:tcPr>
            <w:tcW w:w="220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default"/>
                <w:color w:val="auto"/>
                <w:lang w:val="en-US"/>
              </w:rPr>
            </w:pPr>
            <w:r>
              <w:rPr>
                <w:rFonts w:hint="eastAsia"/>
                <w:color w:val="auto"/>
                <w:lang w:val="en-US" w:eastAsia="zh-CN"/>
              </w:rPr>
              <w:t>5.43</w:t>
            </w:r>
          </w:p>
        </w:tc>
        <w:tc>
          <w:tcPr>
            <w:tcW w:w="22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default"/>
                <w:color w:val="auto"/>
                <w:lang w:val="en-US"/>
              </w:rPr>
            </w:pPr>
            <w:r>
              <w:rPr>
                <w:rFonts w:hint="eastAsia"/>
                <w:color w:val="auto"/>
                <w:lang w:val="en-US" w:eastAsia="zh-CN"/>
              </w:rPr>
              <w:t>3.44</w:t>
            </w:r>
          </w:p>
        </w:tc>
        <w:tc>
          <w:tcPr>
            <w:tcW w:w="22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default"/>
                <w:color w:val="auto"/>
                <w:lang w:val="en-US"/>
              </w:rPr>
            </w:pPr>
            <w:r>
              <w:rPr>
                <w:rFonts w:hint="eastAsia"/>
                <w:color w:val="auto"/>
                <w:lang w:val="en-US" w:eastAsia="zh-CN"/>
              </w:rPr>
              <w:t>1.99</w:t>
            </w:r>
          </w:p>
        </w:tc>
      </w:tr>
      <w:tr>
        <w:tblPrEx>
          <w:tblCellMar>
            <w:top w:w="0" w:type="dxa"/>
            <w:left w:w="0" w:type="dxa"/>
            <w:bottom w:w="0" w:type="dxa"/>
            <w:right w:w="0" w:type="dxa"/>
          </w:tblCellMar>
        </w:tblPrEx>
        <w:trPr>
          <w:trHeight w:val="270" w:hRule="atLeast"/>
        </w:trPr>
        <w:tc>
          <w:tcPr>
            <w:tcW w:w="220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default"/>
                <w:color w:val="auto"/>
              </w:rPr>
            </w:pPr>
            <w:r>
              <w:rPr>
                <w:rFonts w:hint="default"/>
                <w:color w:val="auto"/>
                <w:lang w:val="en-US" w:eastAsia="zh-CN"/>
              </w:rPr>
              <w:t>合计</w:t>
            </w:r>
          </w:p>
        </w:tc>
        <w:tc>
          <w:tcPr>
            <w:tcW w:w="220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default"/>
                <w:color w:val="auto"/>
              </w:rPr>
            </w:pPr>
            <w:r>
              <w:rPr>
                <w:rFonts w:hint="eastAsia"/>
                <w:color w:val="auto"/>
                <w:lang w:val="en-US" w:eastAsia="zh-CN"/>
              </w:rPr>
              <w:t>5.43</w:t>
            </w:r>
          </w:p>
        </w:tc>
        <w:tc>
          <w:tcPr>
            <w:tcW w:w="22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default"/>
                <w:color w:val="auto"/>
              </w:rPr>
            </w:pPr>
            <w:r>
              <w:rPr>
                <w:rFonts w:hint="eastAsia"/>
                <w:color w:val="auto"/>
                <w:lang w:val="en-US" w:eastAsia="zh-CN"/>
              </w:rPr>
              <w:t>3.44</w:t>
            </w:r>
          </w:p>
        </w:tc>
        <w:tc>
          <w:tcPr>
            <w:tcW w:w="22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eastAsia"/>
                <w:color w:val="auto"/>
              </w:rPr>
            </w:pPr>
            <w:r>
              <w:rPr>
                <w:rFonts w:hint="eastAsia"/>
                <w:color w:val="auto"/>
                <w:lang w:val="en-US" w:eastAsia="zh-CN"/>
              </w:rPr>
              <w:t>1.99</w:t>
            </w:r>
          </w:p>
        </w:tc>
      </w:tr>
    </w:tbl>
    <w:p>
      <w:pPr>
        <w:pStyle w:val="6"/>
        <w:rPr>
          <w:rFonts w:hint="default" w:ascii="Times New Roman" w:hAnsi="Times New Roman" w:eastAsia="仿宋_GB2312" w:cs="Times New Roman"/>
          <w:snapToGrid w:val="0"/>
          <w:color w:val="auto"/>
          <w:spacing w:val="0"/>
          <w:kern w:val="0"/>
          <w:sz w:val="24"/>
          <w:szCs w:val="28"/>
        </w:rPr>
      </w:pPr>
    </w:p>
    <w:p>
      <w:pPr>
        <w:pStyle w:val="3"/>
        <w:rPr>
          <w:rFonts w:hint="default"/>
          <w:color w:val="auto"/>
        </w:rPr>
      </w:pPr>
      <w:bookmarkStart w:id="146" w:name="_Toc6463"/>
      <w:r>
        <w:rPr>
          <w:rFonts w:hint="default"/>
          <w:color w:val="auto"/>
        </w:rPr>
        <w:t xml:space="preserve">5.2 </w:t>
      </w:r>
      <w:bookmarkEnd w:id="136"/>
      <w:bookmarkEnd w:id="137"/>
      <w:r>
        <w:rPr>
          <w:rFonts w:hint="default"/>
          <w:color w:val="auto"/>
        </w:rPr>
        <w:t>土壤流失量</w:t>
      </w:r>
      <w:bookmarkEnd w:id="146"/>
    </w:p>
    <w:p>
      <w:pPr>
        <w:pStyle w:val="4"/>
        <w:rPr>
          <w:rFonts w:hint="default"/>
          <w:color w:val="auto"/>
        </w:rPr>
      </w:pPr>
      <w:bookmarkStart w:id="147" w:name="_Toc400529687"/>
      <w:bookmarkStart w:id="148" w:name="_Toc400530788"/>
      <w:r>
        <w:rPr>
          <w:rFonts w:hint="default"/>
          <w:color w:val="auto"/>
        </w:rPr>
        <w:t xml:space="preserve">5.2.1 </w:t>
      </w:r>
      <w:bookmarkEnd w:id="147"/>
      <w:bookmarkEnd w:id="148"/>
      <w:r>
        <w:rPr>
          <w:rFonts w:hint="default"/>
          <w:color w:val="auto"/>
        </w:rPr>
        <w:t>原地貌土壤流失量</w:t>
      </w:r>
    </w:p>
    <w:p>
      <w:pPr>
        <w:adjustRightInd w:val="0"/>
        <w:spacing w:line="360" w:lineRule="auto"/>
        <w:ind w:firstLine="560"/>
        <w:rPr>
          <w:rFonts w:hint="default" w:ascii="Times New Roman" w:hAnsi="Times New Roman" w:eastAsia="仿宋_GB2312" w:cs="Times New Roman"/>
          <w:color w:val="auto"/>
          <w:spacing w:val="0"/>
          <w:sz w:val="24"/>
        </w:rPr>
      </w:pPr>
      <w:r>
        <w:rPr>
          <w:rFonts w:hint="eastAsia" w:cs="Times New Roman"/>
          <w:bCs/>
          <w:color w:val="auto"/>
          <w:spacing w:val="0"/>
          <w:kern w:val="28"/>
          <w:sz w:val="24"/>
          <w:szCs w:val="24"/>
          <w:lang w:val="zh-CN"/>
        </w:rPr>
        <w:t>结合</w:t>
      </w:r>
      <w:r>
        <w:rPr>
          <w:rFonts w:hint="eastAsia" w:cs="Times New Roman"/>
          <w:color w:val="auto"/>
          <w:spacing w:val="0"/>
          <w:sz w:val="24"/>
          <w:lang w:eastAsia="zh-CN"/>
        </w:rPr>
        <w:t>《</w:t>
      </w:r>
      <w:r>
        <w:rPr>
          <w:rFonts w:hint="eastAsia"/>
          <w:color w:val="auto"/>
          <w:lang w:eastAsia="zh-CN"/>
        </w:rPr>
        <w:t>G320线普安江西坡至三板桥段改扩建工程（县城段）</w:t>
      </w:r>
      <w:r>
        <w:rPr>
          <w:rFonts w:hint="eastAsia" w:cs="Times New Roman"/>
          <w:color w:val="auto"/>
          <w:spacing w:val="0"/>
          <w:sz w:val="24"/>
          <w:lang w:eastAsia="zh-CN"/>
        </w:rPr>
        <w:t>水土保持方案报告书》（报批稿）</w:t>
      </w:r>
      <w:r>
        <w:rPr>
          <w:rFonts w:hint="eastAsia" w:ascii="Times New Roman" w:hAnsi="Times New Roman" w:eastAsia="仿宋_GB2312" w:cs="Times New Roman"/>
          <w:color w:val="auto"/>
          <w:spacing w:val="0"/>
          <w:sz w:val="24"/>
          <w:szCs w:val="24"/>
          <w:lang w:eastAsia="zh-CN"/>
        </w:rPr>
        <w:t>及现场调查</w:t>
      </w:r>
      <w:r>
        <w:rPr>
          <w:rFonts w:hint="default" w:ascii="Times New Roman" w:hAnsi="Times New Roman" w:eastAsia="仿宋_GB2312" w:cs="Times New Roman"/>
          <w:color w:val="auto"/>
          <w:spacing w:val="0"/>
          <w:sz w:val="24"/>
          <w:szCs w:val="24"/>
        </w:rPr>
        <w:t>计算，本项目区年平均土壤侵蚀模数约为</w:t>
      </w:r>
      <w:r>
        <w:rPr>
          <w:rFonts w:hint="eastAsia" w:cs="Times New Roman"/>
          <w:color w:val="auto"/>
          <w:spacing w:val="0"/>
          <w:kern w:val="28"/>
          <w:sz w:val="24"/>
          <w:szCs w:val="24"/>
          <w:lang w:val="en-US" w:eastAsia="zh-CN"/>
        </w:rPr>
        <w:t>844</w:t>
      </w:r>
      <w:r>
        <w:rPr>
          <w:rFonts w:hint="default" w:ascii="Times New Roman" w:hAnsi="Times New Roman" w:eastAsia="仿宋_GB2312" w:cs="Times New Roman"/>
          <w:color w:val="auto"/>
          <w:spacing w:val="0"/>
          <w:sz w:val="24"/>
          <w:szCs w:val="24"/>
        </w:rPr>
        <w:t>t/k</w:t>
      </w:r>
      <w:r>
        <w:rPr>
          <w:rFonts w:hint="eastAsia" w:cs="Times New Roman"/>
          <w:color w:val="auto"/>
          <w:spacing w:val="0"/>
          <w:sz w:val="24"/>
          <w:szCs w:val="24"/>
          <w:lang w:eastAsia="zh-CN"/>
        </w:rPr>
        <w:t>m</w:t>
      </w:r>
      <w:r>
        <w:rPr>
          <w:rFonts w:hint="eastAsia" w:cs="Times New Roman"/>
          <w:color w:val="auto"/>
          <w:spacing w:val="0"/>
          <w:sz w:val="24"/>
          <w:szCs w:val="24"/>
          <w:vertAlign w:val="superscript"/>
          <w:lang w:val="en-US" w:eastAsia="zh-CN"/>
        </w:rPr>
        <w:t>2</w:t>
      </w:r>
      <w:r>
        <w:rPr>
          <w:rFonts w:hint="default" w:ascii="Times New Roman" w:hAnsi="Times New Roman" w:eastAsia="仿宋_GB2312" w:cs="Times New Roman"/>
          <w:color w:val="auto"/>
          <w:spacing w:val="0"/>
          <w:sz w:val="24"/>
          <w:szCs w:val="24"/>
        </w:rPr>
        <w:t>·a，</w:t>
      </w:r>
      <w:r>
        <w:rPr>
          <w:rFonts w:hint="default" w:ascii="Times New Roman" w:hAnsi="Times New Roman" w:eastAsia="仿宋_GB2312" w:cs="Times New Roman"/>
          <w:color w:val="auto"/>
          <w:spacing w:val="0"/>
          <w:kern w:val="0"/>
          <w:sz w:val="24"/>
          <w:szCs w:val="24"/>
        </w:rPr>
        <w:t>年均土壤侵蚀量</w:t>
      </w:r>
      <w:r>
        <w:rPr>
          <w:rFonts w:hint="eastAsia" w:cs="Times New Roman"/>
          <w:color w:val="auto"/>
          <w:spacing w:val="0"/>
          <w:kern w:val="0"/>
          <w:sz w:val="24"/>
          <w:szCs w:val="24"/>
          <w:lang w:val="en-US" w:eastAsia="zh-CN"/>
        </w:rPr>
        <w:t>76.87</w:t>
      </w:r>
      <w:r>
        <w:rPr>
          <w:rFonts w:hint="default" w:ascii="Times New Roman" w:hAnsi="Times New Roman" w:eastAsia="仿宋_GB2312" w:cs="Times New Roman"/>
          <w:color w:val="auto"/>
          <w:spacing w:val="0"/>
          <w:kern w:val="0"/>
          <w:sz w:val="24"/>
          <w:szCs w:val="24"/>
        </w:rPr>
        <w:t>t</w:t>
      </w:r>
      <w:r>
        <w:rPr>
          <w:rFonts w:hint="default" w:ascii="Times New Roman" w:hAnsi="Times New Roman" w:eastAsia="仿宋_GB2312" w:cs="Times New Roman"/>
          <w:color w:val="auto"/>
          <w:spacing w:val="0"/>
          <w:sz w:val="24"/>
          <w:szCs w:val="24"/>
        </w:rPr>
        <w:t>。</w:t>
      </w:r>
    </w:p>
    <w:p>
      <w:pPr>
        <w:pStyle w:val="4"/>
        <w:rPr>
          <w:rFonts w:hint="default"/>
          <w:color w:val="auto"/>
        </w:rPr>
      </w:pPr>
      <w:r>
        <w:rPr>
          <w:rFonts w:hint="default"/>
          <w:color w:val="auto"/>
        </w:rPr>
        <w:t>5.2.2 建设期土壤流失量</w:t>
      </w:r>
    </w:p>
    <w:bookmarkEnd w:id="138"/>
    <w:bookmarkEnd w:id="139"/>
    <w:bookmarkEnd w:id="140"/>
    <w:p>
      <w:pPr>
        <w:rPr>
          <w:rFonts w:hint="default" w:ascii="Times New Roman" w:hAnsi="Times New Roman" w:eastAsia="仿宋_GB2312" w:cs="Times New Roman"/>
          <w:color w:val="auto"/>
          <w:spacing w:val="0"/>
          <w:sz w:val="24"/>
        </w:rPr>
      </w:pPr>
      <w:bookmarkStart w:id="149" w:name="_Toc400529696"/>
      <w:bookmarkStart w:id="150" w:name="_Toc371174622"/>
      <w:bookmarkStart w:id="151" w:name="_Toc400530797"/>
      <w:r>
        <w:rPr>
          <w:rFonts w:hint="default" w:ascii="Times New Roman" w:hAnsi="Times New Roman" w:eastAsia="仿宋_GB2312" w:cs="Times New Roman"/>
          <w:color w:val="auto"/>
          <w:spacing w:val="0"/>
          <w:sz w:val="24"/>
        </w:rPr>
        <w:t>项目建设区扰动地表区域通过建立遥感数据解译标志、从遥感数据上提取该区域林草覆盖度结合项目建设区地形图综合分析，参照《土壤侵蚀分级分类标准》（SL190-2007）的土壤侵蚀强度分级标准（表5-2）和面蚀分级指标（表5-3）等规定，确定水土流失等级。</w:t>
      </w:r>
    </w:p>
    <w:p>
      <w:pPr>
        <w:pStyle w:val="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表5-2                土壤侵蚀强度分级标准表</w:t>
      </w:r>
    </w:p>
    <w:tbl>
      <w:tblPr>
        <w:tblStyle w:val="11"/>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2840"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侵蚀级别</w:t>
            </w:r>
          </w:p>
        </w:tc>
        <w:tc>
          <w:tcPr>
            <w:tcW w:w="2841"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平均侵蚀模数</w:t>
            </w:r>
          </w:p>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t/(K</w:t>
            </w:r>
            <w:r>
              <w:rPr>
                <w:rFonts w:hint="eastAsia" w:cs="Times New Roman"/>
                <w:color w:val="auto"/>
                <w:spacing w:val="0"/>
                <w:sz w:val="24"/>
                <w:lang w:eastAsia="zh-CN"/>
              </w:rPr>
              <w:t>m²</w:t>
            </w:r>
            <w:r>
              <w:rPr>
                <w:rFonts w:hint="default" w:ascii="Times New Roman" w:hAnsi="Times New Roman" w:eastAsia="仿宋_GB2312" w:cs="Times New Roman"/>
                <w:color w:val="auto"/>
                <w:spacing w:val="0"/>
                <w:sz w:val="24"/>
              </w:rPr>
              <w:t>·a)</w:t>
            </w:r>
          </w:p>
        </w:tc>
        <w:tc>
          <w:tcPr>
            <w:tcW w:w="2841"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平均流失厚度</w:t>
            </w:r>
          </w:p>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lang w:val="en-CA"/>
              </w:rPr>
              <w:t>（</w:t>
            </w:r>
            <w:r>
              <w:rPr>
                <w:rFonts w:hint="default" w:ascii="Times New Roman" w:hAnsi="Times New Roman" w:eastAsia="仿宋_GB2312" w:cs="Times New Roman"/>
                <w:color w:val="auto"/>
                <w:spacing w:val="0"/>
                <w:sz w:val="24"/>
              </w:rPr>
              <w:t>mm/a</w:t>
            </w:r>
            <w:r>
              <w:rPr>
                <w:rFonts w:hint="default" w:ascii="Times New Roman" w:hAnsi="Times New Roman" w:eastAsia="仿宋_GB2312" w:cs="Times New Roman"/>
                <w:color w:val="auto"/>
                <w:spacing w:val="0"/>
                <w:sz w:val="24"/>
                <w:lang w:val="en-C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0"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微度侵蚀</w:t>
            </w:r>
          </w:p>
        </w:tc>
        <w:tc>
          <w:tcPr>
            <w:tcW w:w="2841"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&lt;500</w:t>
            </w:r>
          </w:p>
        </w:tc>
        <w:tc>
          <w:tcPr>
            <w:tcW w:w="2841"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&lt;0.37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0"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轻度侵蚀</w:t>
            </w:r>
          </w:p>
        </w:tc>
        <w:tc>
          <w:tcPr>
            <w:tcW w:w="2841"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500-2500</w:t>
            </w:r>
          </w:p>
        </w:tc>
        <w:tc>
          <w:tcPr>
            <w:tcW w:w="2841"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0.37-1.9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0"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中度侵蚀</w:t>
            </w:r>
          </w:p>
        </w:tc>
        <w:tc>
          <w:tcPr>
            <w:tcW w:w="2841"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2500-5000</w:t>
            </w:r>
          </w:p>
        </w:tc>
        <w:tc>
          <w:tcPr>
            <w:tcW w:w="2841"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1.9-3.7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0"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强烈侵蚀</w:t>
            </w:r>
          </w:p>
        </w:tc>
        <w:tc>
          <w:tcPr>
            <w:tcW w:w="2841"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5000-8000</w:t>
            </w:r>
          </w:p>
        </w:tc>
        <w:tc>
          <w:tcPr>
            <w:tcW w:w="2841"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3.7-5.9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0"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极强烈侵蚀</w:t>
            </w:r>
          </w:p>
        </w:tc>
        <w:tc>
          <w:tcPr>
            <w:tcW w:w="2841"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8000-15000</w:t>
            </w:r>
          </w:p>
        </w:tc>
        <w:tc>
          <w:tcPr>
            <w:tcW w:w="2841"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5.9-11.1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0"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剧烈侵蚀</w:t>
            </w:r>
          </w:p>
        </w:tc>
        <w:tc>
          <w:tcPr>
            <w:tcW w:w="2841"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&gt;15000</w:t>
            </w:r>
          </w:p>
        </w:tc>
        <w:tc>
          <w:tcPr>
            <w:tcW w:w="2841"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&gt;11.1</w:t>
            </w:r>
          </w:p>
        </w:tc>
      </w:tr>
    </w:tbl>
    <w:p>
      <w:pPr>
        <w:pStyle w:val="6"/>
        <w:rPr>
          <w:rFonts w:hint="default" w:ascii="Times New Roman" w:hAnsi="Times New Roman" w:eastAsia="仿宋_GB2312" w:cs="Times New Roman"/>
          <w:color w:val="auto"/>
          <w:spacing w:val="0"/>
          <w:sz w:val="24"/>
        </w:rPr>
      </w:pPr>
    </w:p>
    <w:p>
      <w:pPr>
        <w:pStyle w:val="6"/>
        <w:rPr>
          <w:rFonts w:hint="default" w:ascii="Times New Roman" w:hAnsi="Times New Roman" w:eastAsia="仿宋_GB2312" w:cs="Times New Roman"/>
          <w:color w:val="auto"/>
          <w:spacing w:val="0"/>
          <w:sz w:val="24"/>
        </w:rPr>
      </w:pPr>
    </w:p>
    <w:p>
      <w:pPr>
        <w:pStyle w:val="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表5-3                    面蚀分级指标表</w:t>
      </w:r>
    </w:p>
    <w:tbl>
      <w:tblPr>
        <w:tblStyle w:val="11"/>
        <w:tblW w:w="852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5"/>
        <w:gridCol w:w="910"/>
        <w:gridCol w:w="1175"/>
        <w:gridCol w:w="138"/>
        <w:gridCol w:w="1483"/>
        <w:gridCol w:w="1484"/>
        <w:gridCol w:w="1483"/>
        <w:gridCol w:w="9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35" w:type="dxa"/>
            <w:gridSpan w:val="2"/>
            <w:tcBorders>
              <w:tl2br w:val="single" w:color="auto" w:sz="12" w:space="0"/>
            </w:tcBorders>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 xml:space="preserve">     地面坡度</w:t>
            </w:r>
          </w:p>
          <w:p>
            <w:pPr>
              <w:pStyle w:val="16"/>
              <w:jc w:val="both"/>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地类</w:t>
            </w:r>
          </w:p>
        </w:tc>
        <w:tc>
          <w:tcPr>
            <w:tcW w:w="1313" w:type="dxa"/>
            <w:gridSpan w:val="2"/>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5°-8°</w:t>
            </w:r>
          </w:p>
        </w:tc>
        <w:tc>
          <w:tcPr>
            <w:tcW w:w="1483"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8°-15°</w:t>
            </w:r>
          </w:p>
        </w:tc>
        <w:tc>
          <w:tcPr>
            <w:tcW w:w="1484"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15°-25°</w:t>
            </w:r>
          </w:p>
        </w:tc>
        <w:tc>
          <w:tcPr>
            <w:tcW w:w="1483"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25°-35°</w:t>
            </w:r>
          </w:p>
        </w:tc>
        <w:tc>
          <w:tcPr>
            <w:tcW w:w="925"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&gt;35°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5" w:type="dxa"/>
            <w:vMerge w:val="restart"/>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非耕地林草覆盖度（％）</w:t>
            </w:r>
          </w:p>
        </w:tc>
        <w:tc>
          <w:tcPr>
            <w:tcW w:w="910"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60-75</w:t>
            </w:r>
          </w:p>
        </w:tc>
        <w:tc>
          <w:tcPr>
            <w:tcW w:w="1313" w:type="dxa"/>
            <w:gridSpan w:val="2"/>
            <w:vAlign w:val="center"/>
          </w:tcPr>
          <w:p>
            <w:pPr>
              <w:pStyle w:val="16"/>
              <w:rPr>
                <w:rFonts w:hint="default" w:ascii="Times New Roman" w:hAnsi="Times New Roman" w:eastAsia="仿宋_GB2312" w:cs="Times New Roman"/>
                <w:color w:val="auto"/>
                <w:spacing w:val="0"/>
                <w:sz w:val="24"/>
              </w:rPr>
            </w:pPr>
          </w:p>
        </w:tc>
        <w:tc>
          <w:tcPr>
            <w:tcW w:w="1483"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mc:AlternateContent>
                <mc:Choice Requires="wps">
                  <w:drawing>
                    <wp:anchor distT="0" distB="0" distL="114300" distR="114300" simplePos="0" relativeHeight="251658240" behindDoc="0" locked="0" layoutInCell="0" allowOverlap="1">
                      <wp:simplePos x="0" y="0"/>
                      <wp:positionH relativeFrom="column">
                        <wp:posOffset>840105</wp:posOffset>
                      </wp:positionH>
                      <wp:positionV relativeFrom="paragraph">
                        <wp:posOffset>210820</wp:posOffset>
                      </wp:positionV>
                      <wp:extent cx="635" cy="0"/>
                      <wp:effectExtent l="0" t="0" r="0" b="0"/>
                      <wp:wrapNone/>
                      <wp:docPr id="16" name="直接连接符 16"/>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6.15pt;margin-top:16.6pt;height:0pt;width:0.05pt;z-index:251658240;mso-width-relative:page;mso-height-relative:page;" filled="f" stroked="t" coordsize="21600,21600" o:allowincell="f" o:gfxdata="UEsDBAoAAAAAAIdO4kAAAAAAAAAAAAAAAAAEAAAAZHJzL1BLAwQUAAAACACHTuJAc29x/NQAAAAJ&#10;AQAADwAAAGRycy9kb3ducmV2LnhtbE2PTU/DMAyG70j8h8hIXCaWLEEIdU13AHrjwgBx9RqvrWic&#10;rsk+4NeTiQMcX/vR68fl6uQHcaAp9oEtLOYKBHETXM+thbfX+uYeREzIDofAZOGLIqyqy4sSCxeO&#10;/EKHdWpFLuFYoIUupbGQMjYdeYzzMBLn3TZMHlOOUyvdhMdc7geplbqTHnvOFzoc6aGj5nO99xZi&#10;/U67+nvWzNSHaQPp3ePzE1p7fbVQSxCJTukPhrN+VocqO23Cnl0UQ85Gm4xaMEaDOANG34LY/A5k&#10;Vcr/H1Q/UEsDBBQAAAAIAIdO4kBUiqp31wEAAJQDAAAOAAAAZHJzL2Uyb0RvYy54bWytU0uOEzEQ&#10;3SNxB8t70knQRNBKZxYThg2CSMABKv50W/JPLk86uQQXQGIHK5bsuQ3DMSg7mQyfDUJkUSlXlV/V&#10;e65eXu6dZTuV0ATf8dlkypnyIkjj+46/fXP96AlnmMFLsMGrjh8U8svVwwfLMbZqHoZgpUqMQDy2&#10;Y+z4kHNsmwbFoBzgJETlKalDcpDpmPpGJhgJ3dlmPp0umjEkGVMQCpGi62OSryq+1krkV1qjysx2&#10;nGbL1aZqt8U2qyW0fYI4GHEaA/5hCgfGU9Mz1BoysJtk/oByRqSAQeeJCK4JWhuhKgdiM5v+xub1&#10;AFFVLiQOxrNM+P9gxcvdJjEj6e0WnHlw9Ea37798e/fx+9cPZG8/f2KUIZnGiC1VX/lNOp0wblLh&#10;vNfJlX9iw/ZV2sNZWrXPTFBw8fiCM3EXb+4vxYT5uQqOFafj1vjCGFrYvcBMjaj0rqSErWdjx59e&#10;zAsc0MJoC5lcF4kC+r7exWCNvDbWlhuY+u2VTWwHZQXqr9Ah3F/KSpM14HCsq6njcgwK5DMvWT5E&#10;0sbTFvMyglOSM6to6YtHgNBmMPZvKqm19TRBUfSoYfG2QR7oKW5iMv1ASszqlCVDT1/nPa1p2a2f&#10;zxXp/mNa/Q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zb3H81AAAAAkBAAAPAAAAAAAAAAEAIAAA&#10;ACIAAABkcnMvZG93bnJldi54bWxQSwECFAAUAAAACACHTuJAVIqqd9cBAACUAwAADgAAAAAAAAAB&#10;ACAAAAAjAQAAZHJzL2Uyb0RvYy54bWxQSwUGAAAAAAYABgBZAQAAbAUAAAAA&#10;">
                      <v:fill on="f" focussize="0,0"/>
                      <v:stroke color="#000000" joinstyle="round"/>
                      <v:imagedata o:title=""/>
                      <o:lock v:ext="edit" aspectratio="f"/>
                    </v:line>
                  </w:pict>
                </mc:Fallback>
              </mc:AlternateContent>
            </w:r>
            <w:r>
              <w:rPr>
                <w:rFonts w:hint="default" w:ascii="Times New Roman" w:hAnsi="Times New Roman" w:eastAsia="仿宋_GB2312" w:cs="Times New Roman"/>
                <w:color w:val="auto"/>
                <w:spacing w:val="0"/>
                <w:sz w:val="24"/>
              </w:rPr>
              <w:t>度</w:t>
            </w:r>
          </w:p>
        </w:tc>
        <w:tc>
          <w:tcPr>
            <w:tcW w:w="1484" w:type="dxa"/>
            <w:vAlign w:val="center"/>
          </w:tcPr>
          <w:p>
            <w:pPr>
              <w:pStyle w:val="16"/>
              <w:rPr>
                <w:rFonts w:hint="default" w:ascii="Times New Roman" w:hAnsi="Times New Roman" w:eastAsia="仿宋_GB2312" w:cs="Times New Roman"/>
                <w:color w:val="auto"/>
                <w:spacing w:val="0"/>
                <w:sz w:val="24"/>
              </w:rPr>
            </w:pPr>
          </w:p>
        </w:tc>
        <w:tc>
          <w:tcPr>
            <w:tcW w:w="2408" w:type="dxa"/>
            <w:gridSpan w:val="2"/>
            <w:vAlign w:val="center"/>
          </w:tcPr>
          <w:p>
            <w:pPr>
              <w:pStyle w:val="16"/>
              <w:rPr>
                <w:rFonts w:hint="default" w:ascii="Times New Roman" w:hAnsi="Times New Roman" w:eastAsia="仿宋_GB2312" w:cs="Times New Roman"/>
                <w:color w:val="auto"/>
                <w:spacing w:val="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5" w:type="dxa"/>
            <w:vMerge w:val="continue"/>
            <w:vAlign w:val="center"/>
          </w:tcPr>
          <w:p>
            <w:pPr>
              <w:pStyle w:val="16"/>
              <w:rPr>
                <w:rFonts w:hint="default" w:ascii="Times New Roman" w:hAnsi="Times New Roman" w:eastAsia="仿宋_GB2312" w:cs="Times New Roman"/>
                <w:color w:val="auto"/>
                <w:spacing w:val="0"/>
                <w:sz w:val="24"/>
              </w:rPr>
            </w:pPr>
          </w:p>
        </w:tc>
        <w:tc>
          <w:tcPr>
            <w:tcW w:w="910"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45-60</w:t>
            </w:r>
          </w:p>
        </w:tc>
        <w:tc>
          <w:tcPr>
            <w:tcW w:w="1313" w:type="dxa"/>
            <w:gridSpan w:val="2"/>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轻</w:t>
            </w:r>
          </w:p>
        </w:tc>
        <w:tc>
          <w:tcPr>
            <w:tcW w:w="1483" w:type="dxa"/>
            <w:vAlign w:val="center"/>
          </w:tcPr>
          <w:p>
            <w:pPr>
              <w:pStyle w:val="16"/>
              <w:rPr>
                <w:rFonts w:hint="default" w:ascii="Times New Roman" w:hAnsi="Times New Roman" w:eastAsia="仿宋_GB2312" w:cs="Times New Roman"/>
                <w:color w:val="auto"/>
                <w:spacing w:val="0"/>
                <w:sz w:val="24"/>
              </w:rPr>
            </w:pPr>
          </w:p>
        </w:tc>
        <w:tc>
          <w:tcPr>
            <w:tcW w:w="2967" w:type="dxa"/>
            <w:gridSpan w:val="2"/>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度</w:t>
            </w:r>
          </w:p>
        </w:tc>
        <w:tc>
          <w:tcPr>
            <w:tcW w:w="925"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强  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5" w:type="dxa"/>
            <w:vMerge w:val="continue"/>
            <w:vAlign w:val="center"/>
          </w:tcPr>
          <w:p>
            <w:pPr>
              <w:pStyle w:val="16"/>
              <w:rPr>
                <w:rFonts w:hint="default" w:ascii="Times New Roman" w:hAnsi="Times New Roman" w:eastAsia="仿宋_GB2312" w:cs="Times New Roman"/>
                <w:color w:val="auto"/>
                <w:spacing w:val="0"/>
                <w:sz w:val="24"/>
              </w:rPr>
            </w:pPr>
          </w:p>
        </w:tc>
        <w:tc>
          <w:tcPr>
            <w:tcW w:w="910"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30-45</w:t>
            </w:r>
          </w:p>
        </w:tc>
        <w:tc>
          <w:tcPr>
            <w:tcW w:w="1313" w:type="dxa"/>
            <w:gridSpan w:val="2"/>
            <w:vAlign w:val="center"/>
          </w:tcPr>
          <w:p>
            <w:pPr>
              <w:pStyle w:val="16"/>
              <w:rPr>
                <w:rFonts w:hint="default" w:ascii="Times New Roman" w:hAnsi="Times New Roman" w:eastAsia="仿宋_GB2312" w:cs="Times New Roman"/>
                <w:color w:val="auto"/>
                <w:spacing w:val="0"/>
                <w:sz w:val="24"/>
              </w:rPr>
            </w:pPr>
          </w:p>
        </w:tc>
        <w:tc>
          <w:tcPr>
            <w:tcW w:w="2967" w:type="dxa"/>
            <w:gridSpan w:val="2"/>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中</w:t>
            </w:r>
          </w:p>
        </w:tc>
        <w:tc>
          <w:tcPr>
            <w:tcW w:w="1483"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强  烈</w:t>
            </w:r>
          </w:p>
        </w:tc>
        <w:tc>
          <w:tcPr>
            <w:tcW w:w="925"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极强烈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5" w:type="dxa"/>
            <w:vMerge w:val="continue"/>
            <w:vAlign w:val="center"/>
          </w:tcPr>
          <w:p>
            <w:pPr>
              <w:pStyle w:val="16"/>
              <w:rPr>
                <w:rFonts w:hint="default" w:ascii="Times New Roman" w:hAnsi="Times New Roman" w:eastAsia="仿宋_GB2312" w:cs="Times New Roman"/>
                <w:color w:val="auto"/>
                <w:spacing w:val="0"/>
                <w:sz w:val="24"/>
              </w:rPr>
            </w:pPr>
          </w:p>
        </w:tc>
        <w:tc>
          <w:tcPr>
            <w:tcW w:w="910"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&lt;30</w:t>
            </w:r>
          </w:p>
        </w:tc>
        <w:tc>
          <w:tcPr>
            <w:tcW w:w="2796" w:type="dxa"/>
            <w:gridSpan w:val="3"/>
            <w:vAlign w:val="center"/>
          </w:tcPr>
          <w:p>
            <w:pPr>
              <w:pStyle w:val="16"/>
              <w:rPr>
                <w:rFonts w:hint="default" w:ascii="Times New Roman" w:hAnsi="Times New Roman" w:eastAsia="仿宋_GB2312" w:cs="Times New Roman"/>
                <w:color w:val="auto"/>
                <w:spacing w:val="0"/>
                <w:sz w:val="24"/>
              </w:rPr>
            </w:pPr>
          </w:p>
        </w:tc>
        <w:tc>
          <w:tcPr>
            <w:tcW w:w="1484" w:type="dxa"/>
            <w:vMerge w:val="restart"/>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强  烈</w:t>
            </w:r>
          </w:p>
        </w:tc>
        <w:tc>
          <w:tcPr>
            <w:tcW w:w="1483" w:type="dxa"/>
            <w:vMerge w:val="restart"/>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极强烈</w:t>
            </w:r>
          </w:p>
        </w:tc>
        <w:tc>
          <w:tcPr>
            <w:tcW w:w="925" w:type="dxa"/>
            <w:vMerge w:val="restart"/>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剧  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35" w:type="dxa"/>
            <w:gridSpan w:val="2"/>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坡耕地</w:t>
            </w:r>
          </w:p>
        </w:tc>
        <w:tc>
          <w:tcPr>
            <w:tcW w:w="1175"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轻  度</w:t>
            </w:r>
          </w:p>
        </w:tc>
        <w:tc>
          <w:tcPr>
            <w:tcW w:w="1621" w:type="dxa"/>
            <w:gridSpan w:val="2"/>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中  度</w:t>
            </w:r>
          </w:p>
        </w:tc>
        <w:tc>
          <w:tcPr>
            <w:tcW w:w="1484" w:type="dxa"/>
            <w:vMerge w:val="continue"/>
            <w:vAlign w:val="center"/>
          </w:tcPr>
          <w:p>
            <w:pPr>
              <w:pStyle w:val="16"/>
              <w:rPr>
                <w:rFonts w:hint="default" w:ascii="Times New Roman" w:hAnsi="Times New Roman" w:eastAsia="仿宋_GB2312" w:cs="Times New Roman"/>
                <w:color w:val="auto"/>
                <w:spacing w:val="0"/>
                <w:sz w:val="24"/>
              </w:rPr>
            </w:pPr>
          </w:p>
        </w:tc>
        <w:tc>
          <w:tcPr>
            <w:tcW w:w="1483" w:type="dxa"/>
            <w:vMerge w:val="continue"/>
            <w:vAlign w:val="center"/>
          </w:tcPr>
          <w:p>
            <w:pPr>
              <w:pStyle w:val="16"/>
              <w:rPr>
                <w:rFonts w:hint="default" w:ascii="Times New Roman" w:hAnsi="Times New Roman" w:eastAsia="仿宋_GB2312" w:cs="Times New Roman"/>
                <w:color w:val="auto"/>
                <w:spacing w:val="0"/>
                <w:sz w:val="24"/>
              </w:rPr>
            </w:pPr>
          </w:p>
        </w:tc>
        <w:tc>
          <w:tcPr>
            <w:tcW w:w="925" w:type="dxa"/>
            <w:vMerge w:val="continue"/>
            <w:vAlign w:val="center"/>
          </w:tcPr>
          <w:p>
            <w:pPr>
              <w:pStyle w:val="16"/>
              <w:rPr>
                <w:rFonts w:hint="default" w:ascii="Times New Roman" w:hAnsi="Times New Roman" w:eastAsia="仿宋_GB2312" w:cs="Times New Roman"/>
                <w:color w:val="auto"/>
                <w:spacing w:val="0"/>
                <w:sz w:val="24"/>
              </w:rPr>
            </w:pPr>
          </w:p>
        </w:tc>
      </w:tr>
    </w:tbl>
    <w:p>
      <w:pPr>
        <w:rPr>
          <w:rFonts w:hint="eastAsia"/>
          <w:color w:val="auto"/>
          <w:lang w:val="en-US" w:eastAsia="zh-CN"/>
        </w:rPr>
      </w:pPr>
      <w:r>
        <w:rPr>
          <w:rFonts w:hint="eastAsia"/>
          <w:color w:val="auto"/>
          <w:lang w:val="en-US" w:eastAsia="zh-CN"/>
        </w:rPr>
        <w:t>结合现场调查，</w:t>
      </w:r>
      <w:r>
        <w:rPr>
          <w:rFonts w:hint="eastAsia"/>
          <w:color w:val="auto"/>
          <w:spacing w:val="-7"/>
          <w:lang w:eastAsia="zh-CN"/>
        </w:rPr>
        <w:t>自监测小组进场</w:t>
      </w:r>
      <w:r>
        <w:rPr>
          <w:color w:val="auto"/>
          <w:spacing w:val="-20"/>
        </w:rPr>
        <w:t xml:space="preserve">至 </w:t>
      </w:r>
      <w:r>
        <w:rPr>
          <w:rFonts w:ascii="Times New Roman" w:hAnsi="Times New Roman" w:eastAsia="Times New Roman"/>
          <w:color w:val="auto"/>
        </w:rPr>
        <w:t>20</w:t>
      </w:r>
      <w:r>
        <w:rPr>
          <w:rFonts w:hint="eastAsia" w:eastAsia="宋体"/>
          <w:color w:val="auto"/>
          <w:lang w:val="en-US" w:eastAsia="zh-CN"/>
        </w:rPr>
        <w:t>16</w:t>
      </w:r>
      <w:r>
        <w:rPr>
          <w:color w:val="auto"/>
          <w:spacing w:val="-30"/>
        </w:rPr>
        <w:t xml:space="preserve">年 </w:t>
      </w:r>
      <w:r>
        <w:rPr>
          <w:rFonts w:hint="eastAsia" w:eastAsia="宋体"/>
          <w:color w:val="auto"/>
          <w:lang w:val="en-US" w:eastAsia="zh-CN"/>
        </w:rPr>
        <w:t>10</w:t>
      </w:r>
      <w:r>
        <w:rPr>
          <w:color w:val="auto"/>
          <w:spacing w:val="-11"/>
        </w:rPr>
        <w:t>月，根据监测结果显示，项目开</w:t>
      </w:r>
      <w:r>
        <w:rPr>
          <w:color w:val="auto"/>
          <w:spacing w:val="-13"/>
        </w:rPr>
        <w:t>展水土保持监测期间，项目建设区扰动地表面积为</w:t>
      </w:r>
      <w:r>
        <w:rPr>
          <w:rFonts w:hint="eastAsia" w:eastAsia="宋体"/>
          <w:color w:val="auto"/>
          <w:lang w:val="en-US" w:eastAsia="zh-CN"/>
        </w:rPr>
        <w:t>5.43</w:t>
      </w:r>
      <w:r>
        <w:rPr>
          <w:rFonts w:ascii="Times New Roman" w:hAnsi="Times New Roman" w:eastAsia="Times New Roman"/>
          <w:color w:val="auto"/>
        </w:rPr>
        <w:t>h</w:t>
      </w:r>
      <w:r>
        <w:rPr>
          <w:rFonts w:hint="eastAsia" w:eastAsia="宋体"/>
          <w:color w:val="auto"/>
          <w:lang w:eastAsia="zh-CN"/>
        </w:rPr>
        <w:t>m</w:t>
      </w:r>
      <w:r>
        <w:rPr>
          <w:rFonts w:hint="eastAsia" w:eastAsia="宋体"/>
          <w:color w:val="auto"/>
          <w:vertAlign w:val="superscript"/>
          <w:lang w:val="en-US" w:eastAsia="zh-CN"/>
        </w:rPr>
        <w:t>2</w:t>
      </w:r>
      <w:r>
        <w:rPr>
          <w:color w:val="auto"/>
        </w:rPr>
        <w:t>，扰动区域平均土</w:t>
      </w:r>
      <w:r>
        <w:rPr>
          <w:color w:val="auto"/>
          <w:spacing w:val="-11"/>
        </w:rPr>
        <w:t>壤侵蚀模数</w:t>
      </w:r>
      <w:r>
        <w:rPr>
          <w:rFonts w:hint="eastAsia"/>
          <w:color w:val="auto"/>
          <w:spacing w:val="-11"/>
          <w:lang w:val="en-US" w:eastAsia="zh-CN"/>
        </w:rPr>
        <w:t>2100</w:t>
      </w:r>
      <w:r>
        <w:rPr>
          <w:rFonts w:ascii="Times New Roman" w:hAnsi="Times New Roman" w:eastAsia="Times New Roman"/>
          <w:color w:val="auto"/>
        </w:rPr>
        <w:t>t/km²·a</w:t>
      </w:r>
      <w:r>
        <w:rPr>
          <w:color w:val="auto"/>
          <w:spacing w:val="-5"/>
        </w:rPr>
        <w:t>，扰动地表土壤流失总量为</w:t>
      </w:r>
      <w:r>
        <w:rPr>
          <w:rFonts w:hint="eastAsia"/>
          <w:color w:val="auto"/>
          <w:spacing w:val="-5"/>
          <w:lang w:val="en-US" w:eastAsia="zh-CN"/>
        </w:rPr>
        <w:t>114.03</w:t>
      </w:r>
      <w:r>
        <w:rPr>
          <w:rFonts w:ascii="Times New Roman" w:hAnsi="Times New Roman" w:eastAsia="Times New Roman"/>
          <w:color w:val="auto"/>
        </w:rPr>
        <w:t>t</w:t>
      </w:r>
      <w:r>
        <w:rPr>
          <w:color w:val="auto"/>
          <w:spacing w:val="-3"/>
        </w:rPr>
        <w:t>。扰动地表土壤</w:t>
      </w:r>
      <w:r>
        <w:rPr>
          <w:color w:val="auto"/>
          <w:spacing w:val="-12"/>
        </w:rPr>
        <w:t>流失量详见表</w:t>
      </w:r>
      <w:r>
        <w:rPr>
          <w:rFonts w:ascii="Times New Roman" w:hAnsi="Times New Roman" w:eastAsia="Times New Roman"/>
          <w:color w:val="auto"/>
        </w:rPr>
        <w:t>5-4</w:t>
      </w:r>
      <w:r>
        <w:rPr>
          <w:color w:val="auto"/>
        </w:rPr>
        <w:t>。</w:t>
      </w:r>
      <w:r>
        <w:rPr>
          <w:rFonts w:hint="eastAsia"/>
          <w:color w:val="auto"/>
          <w:lang w:val="en-US" w:eastAsia="zh-CN"/>
        </w:rPr>
        <w:t>本项目建设区水土流失分布情况如下：</w:t>
      </w:r>
    </w:p>
    <w:p>
      <w:pPr>
        <w:pStyle w:val="17"/>
        <w:bidi w:val="0"/>
        <w:rPr>
          <w:rFonts w:hint="eastAsia"/>
          <w:b w:val="0"/>
          <w:bCs w:val="0"/>
          <w:color w:val="auto"/>
          <w:sz w:val="24"/>
          <w:szCs w:val="24"/>
          <w:lang w:val="en-US" w:eastAsia="zh-CN"/>
        </w:rPr>
      </w:pPr>
      <w:r>
        <w:rPr>
          <w:b w:val="0"/>
          <w:bCs w:val="0"/>
          <w:color w:val="auto"/>
          <w:sz w:val="24"/>
          <w:szCs w:val="24"/>
        </w:rPr>
        <w:t>表 5-4</w:t>
      </w:r>
      <w:r>
        <w:rPr>
          <w:b w:val="0"/>
          <w:bCs w:val="0"/>
          <w:color w:val="auto"/>
          <w:sz w:val="24"/>
          <w:szCs w:val="24"/>
        </w:rPr>
        <w:tab/>
      </w:r>
      <w:r>
        <w:rPr>
          <w:b w:val="0"/>
          <w:bCs w:val="0"/>
          <w:color w:val="auto"/>
          <w:sz w:val="24"/>
          <w:szCs w:val="24"/>
        </w:rPr>
        <w:t>项目建设期土壤流失量计算表</w:t>
      </w:r>
    </w:p>
    <w:tbl>
      <w:tblPr>
        <w:tblStyle w:val="11"/>
        <w:tblW w:w="8817" w:type="dxa"/>
        <w:tblInd w:w="0" w:type="dxa"/>
        <w:shd w:val="clear" w:color="auto" w:fill="auto"/>
        <w:tblLayout w:type="fixed"/>
        <w:tblCellMar>
          <w:top w:w="0" w:type="dxa"/>
          <w:left w:w="0" w:type="dxa"/>
          <w:bottom w:w="0" w:type="dxa"/>
          <w:right w:w="0" w:type="dxa"/>
        </w:tblCellMar>
      </w:tblPr>
      <w:tblGrid>
        <w:gridCol w:w="1200"/>
        <w:gridCol w:w="1335"/>
        <w:gridCol w:w="1581"/>
        <w:gridCol w:w="1059"/>
        <w:gridCol w:w="931"/>
        <w:gridCol w:w="1416"/>
        <w:gridCol w:w="1295"/>
      </w:tblGrid>
      <w:tr>
        <w:tblPrEx>
          <w:shd w:val="clear" w:color="auto" w:fill="auto"/>
          <w:tblCellMar>
            <w:top w:w="0" w:type="dxa"/>
            <w:left w:w="0" w:type="dxa"/>
            <w:bottom w:w="0" w:type="dxa"/>
            <w:right w:w="0" w:type="dxa"/>
          </w:tblCellMar>
        </w:tblPrEx>
        <w:trPr>
          <w:trHeight w:val="855" w:hRule="atLeast"/>
        </w:trPr>
        <w:tc>
          <w:tcPr>
            <w:tcW w:w="1200"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default"/>
                <w:color w:val="auto"/>
              </w:rPr>
            </w:pPr>
            <w:r>
              <w:rPr>
                <w:rFonts w:hint="default"/>
                <w:color w:val="auto"/>
                <w:lang w:val="en-US" w:eastAsia="zh-CN"/>
              </w:rPr>
              <w:t>项目区</w:t>
            </w:r>
          </w:p>
        </w:tc>
        <w:tc>
          <w:tcPr>
            <w:tcW w:w="133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default"/>
                <w:color w:val="auto"/>
              </w:rPr>
            </w:pPr>
            <w:r>
              <w:rPr>
                <w:rFonts w:hint="default"/>
                <w:color w:val="auto"/>
                <w:lang w:val="en-US" w:eastAsia="zh-CN"/>
              </w:rPr>
              <w:t>水土流失面积</w:t>
            </w:r>
          </w:p>
        </w:tc>
        <w:tc>
          <w:tcPr>
            <w:tcW w:w="1581"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eastAsia"/>
                <w:color w:val="auto"/>
              </w:rPr>
            </w:pPr>
            <w:r>
              <w:rPr>
                <w:rFonts w:hint="eastAsia"/>
                <w:color w:val="auto"/>
                <w:lang w:val="en-US" w:eastAsia="zh-CN"/>
              </w:rPr>
              <w:t>监测时段</w:t>
            </w:r>
          </w:p>
        </w:tc>
        <w:tc>
          <w:tcPr>
            <w:tcW w:w="1059"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eastAsia"/>
                <w:color w:val="auto"/>
              </w:rPr>
            </w:pPr>
            <w:r>
              <w:rPr>
                <w:rFonts w:hint="eastAsia"/>
                <w:color w:val="auto"/>
                <w:lang w:val="en-US" w:eastAsia="zh-CN"/>
              </w:rPr>
              <w:t>强度级别</w:t>
            </w:r>
          </w:p>
        </w:tc>
        <w:tc>
          <w:tcPr>
            <w:tcW w:w="931"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jc w:val="center"/>
              <w:rPr>
                <w:color w:val="auto"/>
              </w:rPr>
            </w:pPr>
            <w:r>
              <w:rPr>
                <w:rFonts w:hint="eastAsia"/>
                <w:color w:val="auto"/>
                <w:lang w:val="en-US" w:eastAsia="zh-CN"/>
              </w:rPr>
              <w:t>侵蚀时间</w:t>
            </w:r>
          </w:p>
        </w:tc>
        <w:tc>
          <w:tcPr>
            <w:tcW w:w="141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eastAsia"/>
                <w:color w:val="auto"/>
              </w:rPr>
            </w:pPr>
            <w:r>
              <w:rPr>
                <w:rFonts w:hint="eastAsia"/>
                <w:color w:val="auto"/>
                <w:lang w:val="en-US" w:eastAsia="zh-CN"/>
              </w:rPr>
              <w:t xml:space="preserve">土壤侵蚀模数 </w:t>
            </w:r>
            <w:r>
              <w:rPr>
                <w:color w:val="auto"/>
                <w:lang w:val="en-US" w:eastAsia="zh-CN"/>
              </w:rPr>
              <w:t>t/km</w:t>
            </w:r>
            <w:r>
              <w:rPr>
                <w:color w:val="auto"/>
                <w:vertAlign w:val="superscript"/>
                <w:lang w:val="en-US" w:eastAsia="zh-CN"/>
              </w:rPr>
              <w:t>2</w:t>
            </w:r>
            <w:r>
              <w:rPr>
                <w:color w:val="auto"/>
                <w:lang w:val="en-US" w:eastAsia="zh-CN"/>
              </w:rPr>
              <w:t>·a</w:t>
            </w:r>
          </w:p>
        </w:tc>
        <w:tc>
          <w:tcPr>
            <w:tcW w:w="129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eastAsia"/>
                <w:color w:val="auto"/>
              </w:rPr>
            </w:pPr>
            <w:r>
              <w:rPr>
                <w:rFonts w:hint="eastAsia"/>
                <w:color w:val="auto"/>
                <w:lang w:val="en-US" w:eastAsia="zh-CN"/>
              </w:rPr>
              <w:t>土壤流失量（</w:t>
            </w:r>
            <w:r>
              <w:rPr>
                <w:color w:val="auto"/>
                <w:lang w:val="en-US" w:eastAsia="zh-CN"/>
              </w:rPr>
              <w:t>t）</w:t>
            </w:r>
          </w:p>
        </w:tc>
      </w:tr>
      <w:tr>
        <w:tblPrEx>
          <w:tblCellMar>
            <w:top w:w="0" w:type="dxa"/>
            <w:left w:w="0" w:type="dxa"/>
            <w:bottom w:w="0" w:type="dxa"/>
            <w:right w:w="0" w:type="dxa"/>
          </w:tblCellMar>
        </w:tblPrEx>
        <w:trPr>
          <w:trHeight w:val="270" w:hRule="atLeast"/>
        </w:trPr>
        <w:tc>
          <w:tcPr>
            <w:tcW w:w="120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default"/>
                <w:color w:val="auto"/>
              </w:rPr>
            </w:pPr>
          </w:p>
        </w:tc>
        <w:tc>
          <w:tcPr>
            <w:tcW w:w="1335"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default"/>
                <w:color w:val="auto"/>
              </w:rPr>
            </w:pPr>
          </w:p>
        </w:tc>
        <w:tc>
          <w:tcPr>
            <w:tcW w:w="1581"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eastAsia"/>
                <w:color w:val="auto"/>
              </w:rPr>
            </w:pPr>
          </w:p>
        </w:tc>
        <w:tc>
          <w:tcPr>
            <w:tcW w:w="1059"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eastAsia"/>
                <w:color w:val="auto"/>
              </w:rPr>
            </w:pPr>
          </w:p>
        </w:tc>
        <w:tc>
          <w:tcPr>
            <w:tcW w:w="931"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eastAsia"/>
                <w:color w:val="auto"/>
              </w:rPr>
            </w:pPr>
          </w:p>
        </w:tc>
        <w:tc>
          <w:tcPr>
            <w:tcW w:w="141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eastAsia"/>
                <w:color w:val="auto"/>
              </w:rPr>
            </w:pPr>
          </w:p>
        </w:tc>
        <w:tc>
          <w:tcPr>
            <w:tcW w:w="1295"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eastAsia"/>
                <w:color w:val="auto"/>
              </w:rPr>
            </w:pPr>
          </w:p>
        </w:tc>
      </w:tr>
      <w:tr>
        <w:tblPrEx>
          <w:tblCellMar>
            <w:top w:w="0" w:type="dxa"/>
            <w:left w:w="0" w:type="dxa"/>
            <w:bottom w:w="0" w:type="dxa"/>
            <w:right w:w="0" w:type="dxa"/>
          </w:tblCellMar>
        </w:tblPrEx>
        <w:trPr>
          <w:trHeight w:val="540" w:hRule="atLeast"/>
        </w:trPr>
        <w:tc>
          <w:tcPr>
            <w:tcW w:w="120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default"/>
                <w:color w:val="auto"/>
              </w:rPr>
            </w:pPr>
            <w:r>
              <w:rPr>
                <w:rFonts w:hint="default"/>
                <w:color w:val="auto"/>
                <w:lang w:val="en-US" w:eastAsia="zh-CN"/>
              </w:rPr>
              <w:t>路基工程区</w:t>
            </w:r>
          </w:p>
        </w:tc>
        <w:tc>
          <w:tcPr>
            <w:tcW w:w="133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default"/>
                <w:color w:val="auto"/>
                <w:lang w:val="en-US"/>
              </w:rPr>
            </w:pPr>
            <w:r>
              <w:rPr>
                <w:rFonts w:hint="eastAsia"/>
                <w:color w:val="auto"/>
                <w:lang w:val="en-US" w:eastAsia="zh-CN"/>
              </w:rPr>
              <w:t>5.43</w:t>
            </w:r>
          </w:p>
        </w:tc>
        <w:tc>
          <w:tcPr>
            <w:tcW w:w="15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default"/>
                <w:color w:val="auto"/>
                <w:lang w:val="en-US"/>
              </w:rPr>
            </w:pPr>
            <w:r>
              <w:rPr>
                <w:rFonts w:hint="eastAsia"/>
                <w:color w:val="auto"/>
                <w:lang w:val="en-US" w:eastAsia="zh-CN"/>
              </w:rPr>
              <w:t>2016.1-2016.10</w:t>
            </w:r>
          </w:p>
        </w:tc>
        <w:tc>
          <w:tcPr>
            <w:tcW w:w="10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eastAsia"/>
                <w:color w:val="auto"/>
              </w:rPr>
            </w:pPr>
            <w:r>
              <w:rPr>
                <w:rFonts w:hint="eastAsia"/>
                <w:color w:val="auto"/>
                <w:lang w:val="en-US" w:eastAsia="zh-CN"/>
              </w:rPr>
              <w:t>轻度</w:t>
            </w:r>
          </w:p>
        </w:tc>
        <w:tc>
          <w:tcPr>
            <w:tcW w:w="93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eastAsia"/>
                <w:color w:val="auto"/>
              </w:rPr>
            </w:pPr>
            <w:r>
              <w:rPr>
                <w:rFonts w:hint="eastAsia"/>
                <w:color w:val="auto"/>
                <w:lang w:val="en-US" w:eastAsia="zh-CN"/>
              </w:rPr>
              <w:t>1</w:t>
            </w:r>
          </w:p>
        </w:tc>
        <w:tc>
          <w:tcPr>
            <w:tcW w:w="14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default"/>
                <w:color w:val="auto"/>
                <w:lang w:val="en-US"/>
              </w:rPr>
            </w:pPr>
            <w:r>
              <w:rPr>
                <w:rFonts w:hint="eastAsia"/>
                <w:color w:val="auto"/>
                <w:lang w:val="en-US" w:eastAsia="zh-CN"/>
              </w:rPr>
              <w:t>2100</w:t>
            </w:r>
          </w:p>
        </w:tc>
        <w:tc>
          <w:tcPr>
            <w:tcW w:w="12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default"/>
                <w:color w:val="auto"/>
                <w:lang w:val="en-US"/>
              </w:rPr>
            </w:pPr>
            <w:r>
              <w:rPr>
                <w:rFonts w:hint="eastAsia"/>
                <w:color w:val="auto"/>
                <w:lang w:val="en-US" w:eastAsia="zh-CN"/>
              </w:rPr>
              <w:t>114.03</w:t>
            </w:r>
          </w:p>
        </w:tc>
      </w:tr>
      <w:tr>
        <w:tblPrEx>
          <w:tblCellMar>
            <w:top w:w="0" w:type="dxa"/>
            <w:left w:w="0" w:type="dxa"/>
            <w:bottom w:w="0" w:type="dxa"/>
            <w:right w:w="0" w:type="dxa"/>
          </w:tblCellMar>
        </w:tblPrEx>
        <w:trPr>
          <w:trHeight w:val="270" w:hRule="atLeast"/>
        </w:trPr>
        <w:tc>
          <w:tcPr>
            <w:tcW w:w="120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default"/>
                <w:color w:val="auto"/>
              </w:rPr>
            </w:pPr>
            <w:r>
              <w:rPr>
                <w:rFonts w:hint="default"/>
                <w:color w:val="auto"/>
                <w:lang w:val="en-US" w:eastAsia="zh-CN"/>
              </w:rPr>
              <w:t>合计</w:t>
            </w:r>
          </w:p>
        </w:tc>
        <w:tc>
          <w:tcPr>
            <w:tcW w:w="133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eastAsia"/>
                <w:color w:val="auto"/>
              </w:rPr>
            </w:pPr>
            <w:r>
              <w:rPr>
                <w:rFonts w:hint="eastAsia"/>
                <w:color w:val="auto"/>
                <w:lang w:val="en-US" w:eastAsia="zh-CN"/>
              </w:rPr>
              <w:t>5.43</w:t>
            </w:r>
          </w:p>
        </w:tc>
        <w:tc>
          <w:tcPr>
            <w:tcW w:w="15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eastAsia"/>
                <w:color w:val="auto"/>
              </w:rPr>
            </w:pPr>
            <w:r>
              <w:rPr>
                <w:rFonts w:hint="eastAsia"/>
                <w:color w:val="auto"/>
                <w:lang w:val="en-US" w:eastAsia="zh-CN"/>
              </w:rPr>
              <w:t>2016.1-2016.10</w:t>
            </w:r>
          </w:p>
        </w:tc>
        <w:tc>
          <w:tcPr>
            <w:tcW w:w="10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eastAsia"/>
                <w:color w:val="auto"/>
              </w:rPr>
            </w:pPr>
            <w:r>
              <w:rPr>
                <w:rFonts w:hint="eastAsia"/>
                <w:color w:val="auto"/>
                <w:lang w:val="en-US" w:eastAsia="zh-CN"/>
              </w:rPr>
              <w:t>轻度</w:t>
            </w:r>
          </w:p>
        </w:tc>
        <w:tc>
          <w:tcPr>
            <w:tcW w:w="93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eastAsia"/>
                <w:color w:val="auto"/>
              </w:rPr>
            </w:pPr>
            <w:r>
              <w:rPr>
                <w:rFonts w:hint="eastAsia"/>
                <w:color w:val="auto"/>
                <w:lang w:val="en-US" w:eastAsia="zh-CN"/>
              </w:rPr>
              <w:t>1</w:t>
            </w:r>
          </w:p>
        </w:tc>
        <w:tc>
          <w:tcPr>
            <w:tcW w:w="14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eastAsia"/>
                <w:color w:val="auto"/>
              </w:rPr>
            </w:pPr>
            <w:r>
              <w:rPr>
                <w:rFonts w:hint="eastAsia"/>
                <w:color w:val="auto"/>
                <w:lang w:val="en-US" w:eastAsia="zh-CN"/>
              </w:rPr>
              <w:t>2100</w:t>
            </w:r>
          </w:p>
        </w:tc>
        <w:tc>
          <w:tcPr>
            <w:tcW w:w="12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jc w:val="center"/>
              <w:rPr>
                <w:rFonts w:hint="eastAsia"/>
                <w:color w:val="auto"/>
              </w:rPr>
            </w:pPr>
            <w:r>
              <w:rPr>
                <w:rFonts w:hint="eastAsia"/>
                <w:color w:val="auto"/>
                <w:lang w:val="en-US" w:eastAsia="zh-CN"/>
              </w:rPr>
              <w:t>114.03</w:t>
            </w:r>
          </w:p>
        </w:tc>
      </w:tr>
    </w:tbl>
    <w:p>
      <w:pPr>
        <w:ind w:left="0" w:leftChars="0" w:firstLine="0" w:firstLineChars="0"/>
        <w:rPr>
          <w:rFonts w:hint="eastAsia"/>
          <w:color w:val="auto"/>
          <w:lang w:val="en-US" w:eastAsia="zh-CN"/>
        </w:rPr>
      </w:pPr>
    </w:p>
    <w:p>
      <w:pPr>
        <w:pStyle w:val="4"/>
        <w:rPr>
          <w:rFonts w:hint="default"/>
          <w:color w:val="auto"/>
        </w:rPr>
      </w:pPr>
      <w:r>
        <w:rPr>
          <w:rFonts w:hint="default"/>
          <w:color w:val="auto"/>
        </w:rPr>
        <w:t>5.2.3自然恢复期土壤流失量</w:t>
      </w:r>
    </w:p>
    <w:p>
      <w:pPr>
        <w:rPr>
          <w:rFonts w:hint="eastAsia"/>
          <w:color w:val="auto"/>
          <w:lang w:val="en-US" w:eastAsia="zh-CN"/>
        </w:rPr>
      </w:pPr>
      <w:r>
        <w:rPr>
          <w:rFonts w:hint="eastAsia"/>
          <w:color w:val="auto"/>
          <w:lang w:eastAsia="zh-CN"/>
        </w:rPr>
        <w:t>本项目施工期间，建设单位严格按照水保方案要求采取并完善水土保持措施，极大减小了项目在自然恢复期的水土流失量。经现场调查，本项目在自然恢复期土壤侵蚀模数为</w:t>
      </w:r>
      <w:r>
        <w:rPr>
          <w:rFonts w:hint="eastAsia"/>
          <w:color w:val="auto"/>
          <w:lang w:val="en-US" w:eastAsia="zh-CN"/>
        </w:rPr>
        <w:t>350</w:t>
      </w:r>
      <w:r>
        <w:rPr>
          <w:color w:val="auto"/>
        </w:rPr>
        <w:t>t/k</w:t>
      </w:r>
      <w:r>
        <w:rPr>
          <w:rFonts w:hint="eastAsia"/>
          <w:color w:val="auto"/>
          <w:lang w:eastAsia="zh-CN"/>
        </w:rPr>
        <w:t>m</w:t>
      </w:r>
      <w:r>
        <w:rPr>
          <w:rFonts w:hint="eastAsia"/>
          <w:color w:val="auto"/>
          <w:vertAlign w:val="superscript"/>
          <w:lang w:val="en-US" w:eastAsia="zh-CN"/>
        </w:rPr>
        <w:t>2</w:t>
      </w:r>
      <w:r>
        <w:rPr>
          <w:color w:val="auto"/>
        </w:rPr>
        <w:t>.a</w:t>
      </w:r>
      <w:r>
        <w:rPr>
          <w:rFonts w:hint="eastAsia"/>
          <w:color w:val="auto"/>
          <w:lang w:eastAsia="zh-CN"/>
        </w:rPr>
        <w:t>，及年水土流失量为</w:t>
      </w:r>
      <w:r>
        <w:rPr>
          <w:rFonts w:hint="eastAsia"/>
          <w:color w:val="auto"/>
          <w:lang w:val="en-US" w:eastAsia="zh-CN"/>
        </w:rPr>
        <w:t>19.01t。</w:t>
      </w:r>
      <w:bookmarkStart w:id="152" w:name="_Toc433701523"/>
      <w:bookmarkStart w:id="153" w:name="_Toc430627103"/>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480" w:firstLineChars="200"/>
        <w:jc w:val="center"/>
        <w:textAlignment w:val="auto"/>
        <w:outlineLvl w:val="9"/>
        <w:rPr>
          <w:rFonts w:hint="eastAsia"/>
          <w:color w:val="auto"/>
          <w:lang w:val="en-US" w:eastAsia="zh-CN"/>
        </w:rPr>
      </w:pPr>
      <w:r>
        <w:rPr>
          <w:b w:val="0"/>
          <w:bCs w:val="0"/>
          <w:color w:val="auto"/>
          <w:sz w:val="24"/>
          <w:szCs w:val="24"/>
        </w:rPr>
        <w:t>表 5-</w:t>
      </w:r>
      <w:r>
        <w:rPr>
          <w:rFonts w:hint="eastAsia"/>
          <w:b w:val="0"/>
          <w:bCs w:val="0"/>
          <w:color w:val="auto"/>
          <w:sz w:val="24"/>
          <w:szCs w:val="24"/>
          <w:lang w:val="en-US" w:eastAsia="zh-CN"/>
        </w:rPr>
        <w:t>5</w:t>
      </w:r>
      <w:r>
        <w:rPr>
          <w:b w:val="0"/>
          <w:bCs w:val="0"/>
          <w:color w:val="auto"/>
          <w:sz w:val="24"/>
          <w:szCs w:val="24"/>
        </w:rPr>
        <w:tab/>
      </w:r>
      <w:r>
        <w:rPr>
          <w:color w:val="auto"/>
        </w:rPr>
        <w:t>项目自然恢复期土壤流失量计算表</w:t>
      </w:r>
    </w:p>
    <w:tbl>
      <w:tblPr>
        <w:tblStyle w:val="11"/>
        <w:tblW w:w="88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169"/>
        <w:gridCol w:w="1198"/>
        <w:gridCol w:w="1587"/>
        <w:gridCol w:w="1259"/>
        <w:gridCol w:w="1175"/>
        <w:gridCol w:w="1233"/>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855" w:hRule="atLeast"/>
        </w:trPr>
        <w:tc>
          <w:tcPr>
            <w:tcW w:w="1169" w:type="dxa"/>
            <w:vMerge w:val="restart"/>
            <w:tcBorders>
              <w:tl2br w:val="nil"/>
              <w:tr2bl w:val="nil"/>
            </w:tcBorders>
            <w:shd w:val="clear" w:color="auto" w:fill="auto"/>
            <w:tcMar>
              <w:top w:w="15" w:type="dxa"/>
              <w:left w:w="15" w:type="dxa"/>
              <w:right w:w="15" w:type="dxa"/>
            </w:tcMar>
            <w:vAlign w:val="center"/>
          </w:tcPr>
          <w:p>
            <w:pPr>
              <w:pStyle w:val="16"/>
              <w:jc w:val="center"/>
              <w:rPr>
                <w:rFonts w:hint="default"/>
                <w:color w:val="auto"/>
              </w:rPr>
            </w:pPr>
            <w:r>
              <w:rPr>
                <w:rFonts w:hint="default"/>
                <w:color w:val="auto"/>
                <w:lang w:val="en-US" w:eastAsia="zh-CN"/>
              </w:rPr>
              <w:t>项目区</w:t>
            </w:r>
          </w:p>
        </w:tc>
        <w:tc>
          <w:tcPr>
            <w:tcW w:w="1198" w:type="dxa"/>
            <w:vMerge w:val="restart"/>
            <w:tcBorders>
              <w:tl2br w:val="nil"/>
              <w:tr2bl w:val="nil"/>
            </w:tcBorders>
            <w:shd w:val="clear" w:color="auto" w:fill="auto"/>
            <w:tcMar>
              <w:top w:w="15" w:type="dxa"/>
              <w:left w:w="15" w:type="dxa"/>
              <w:right w:w="15" w:type="dxa"/>
            </w:tcMar>
            <w:vAlign w:val="center"/>
          </w:tcPr>
          <w:p>
            <w:pPr>
              <w:pStyle w:val="16"/>
              <w:jc w:val="center"/>
              <w:rPr>
                <w:rFonts w:hint="default"/>
                <w:color w:val="auto"/>
              </w:rPr>
            </w:pPr>
            <w:r>
              <w:rPr>
                <w:rFonts w:hint="default"/>
                <w:color w:val="auto"/>
                <w:lang w:val="en-US" w:eastAsia="zh-CN"/>
              </w:rPr>
              <w:t>水土流失面积</w:t>
            </w:r>
          </w:p>
        </w:tc>
        <w:tc>
          <w:tcPr>
            <w:tcW w:w="1587" w:type="dxa"/>
            <w:vMerge w:val="restart"/>
            <w:tcBorders>
              <w:tl2br w:val="nil"/>
              <w:tr2bl w:val="nil"/>
            </w:tcBorders>
            <w:shd w:val="clear" w:color="auto" w:fill="auto"/>
            <w:tcMar>
              <w:top w:w="15" w:type="dxa"/>
              <w:left w:w="15" w:type="dxa"/>
              <w:right w:w="15" w:type="dxa"/>
            </w:tcMar>
            <w:vAlign w:val="center"/>
          </w:tcPr>
          <w:p>
            <w:pPr>
              <w:pStyle w:val="16"/>
              <w:jc w:val="center"/>
              <w:rPr>
                <w:rFonts w:hint="eastAsia"/>
                <w:color w:val="auto"/>
              </w:rPr>
            </w:pPr>
            <w:r>
              <w:rPr>
                <w:rFonts w:hint="eastAsia"/>
                <w:color w:val="auto"/>
                <w:lang w:val="en-US" w:eastAsia="zh-CN"/>
              </w:rPr>
              <w:t>监测时段</w:t>
            </w:r>
          </w:p>
        </w:tc>
        <w:tc>
          <w:tcPr>
            <w:tcW w:w="1259" w:type="dxa"/>
            <w:vMerge w:val="restart"/>
            <w:tcBorders>
              <w:tl2br w:val="nil"/>
              <w:tr2bl w:val="nil"/>
            </w:tcBorders>
            <w:shd w:val="clear" w:color="auto" w:fill="auto"/>
            <w:tcMar>
              <w:top w:w="15" w:type="dxa"/>
              <w:left w:w="15" w:type="dxa"/>
              <w:right w:w="15" w:type="dxa"/>
            </w:tcMar>
            <w:vAlign w:val="center"/>
          </w:tcPr>
          <w:p>
            <w:pPr>
              <w:pStyle w:val="16"/>
              <w:jc w:val="center"/>
              <w:rPr>
                <w:rFonts w:hint="eastAsia"/>
                <w:color w:val="auto"/>
              </w:rPr>
            </w:pPr>
            <w:r>
              <w:rPr>
                <w:rFonts w:hint="eastAsia"/>
                <w:color w:val="auto"/>
                <w:lang w:val="en-US" w:eastAsia="zh-CN"/>
              </w:rPr>
              <w:t>强度级别</w:t>
            </w:r>
          </w:p>
        </w:tc>
        <w:tc>
          <w:tcPr>
            <w:tcW w:w="1175" w:type="dxa"/>
            <w:vMerge w:val="restart"/>
            <w:tcBorders>
              <w:tl2br w:val="nil"/>
              <w:tr2bl w:val="nil"/>
            </w:tcBorders>
            <w:shd w:val="clear" w:color="auto" w:fill="auto"/>
            <w:tcMar>
              <w:top w:w="15" w:type="dxa"/>
              <w:left w:w="15" w:type="dxa"/>
              <w:right w:w="15" w:type="dxa"/>
            </w:tcMar>
            <w:vAlign w:val="center"/>
          </w:tcPr>
          <w:p>
            <w:pPr>
              <w:pStyle w:val="16"/>
              <w:jc w:val="center"/>
              <w:rPr>
                <w:color w:val="auto"/>
              </w:rPr>
            </w:pPr>
            <w:r>
              <w:rPr>
                <w:rFonts w:hint="eastAsia"/>
                <w:color w:val="auto"/>
                <w:lang w:val="en-US" w:eastAsia="zh-CN"/>
              </w:rPr>
              <w:t>侵蚀时间</w:t>
            </w:r>
          </w:p>
        </w:tc>
        <w:tc>
          <w:tcPr>
            <w:tcW w:w="1233" w:type="dxa"/>
            <w:vMerge w:val="restart"/>
            <w:tcBorders>
              <w:tl2br w:val="nil"/>
              <w:tr2bl w:val="nil"/>
            </w:tcBorders>
            <w:shd w:val="clear" w:color="auto" w:fill="auto"/>
            <w:tcMar>
              <w:top w:w="15" w:type="dxa"/>
              <w:left w:w="15" w:type="dxa"/>
              <w:right w:w="15" w:type="dxa"/>
            </w:tcMar>
            <w:vAlign w:val="center"/>
          </w:tcPr>
          <w:p>
            <w:pPr>
              <w:pStyle w:val="16"/>
              <w:jc w:val="center"/>
              <w:rPr>
                <w:rFonts w:hint="eastAsia"/>
                <w:color w:val="auto"/>
              </w:rPr>
            </w:pPr>
            <w:r>
              <w:rPr>
                <w:rFonts w:hint="eastAsia"/>
                <w:color w:val="auto"/>
                <w:lang w:val="en-US" w:eastAsia="zh-CN"/>
              </w:rPr>
              <w:t xml:space="preserve">土壤侵蚀模数 </w:t>
            </w:r>
            <w:r>
              <w:rPr>
                <w:rFonts w:hint="default"/>
                <w:color w:val="auto"/>
                <w:lang w:val="en-US" w:eastAsia="zh-CN"/>
              </w:rPr>
              <w:t>t/km</w:t>
            </w:r>
            <w:r>
              <w:rPr>
                <w:rFonts w:hint="eastAsia"/>
                <w:color w:val="auto"/>
                <w:vertAlign w:val="superscript"/>
                <w:lang w:val="en-US" w:eastAsia="zh-CN"/>
              </w:rPr>
              <w:t>2</w:t>
            </w:r>
            <w:r>
              <w:rPr>
                <w:rFonts w:hint="eastAsia"/>
                <w:color w:val="auto"/>
                <w:lang w:val="en-US" w:eastAsia="zh-CN"/>
              </w:rPr>
              <w:t>·</w:t>
            </w:r>
            <w:r>
              <w:rPr>
                <w:rFonts w:hint="default"/>
                <w:color w:val="auto"/>
                <w:lang w:val="en-US" w:eastAsia="zh-CN"/>
              </w:rPr>
              <w:t>a</w:t>
            </w:r>
          </w:p>
        </w:tc>
        <w:tc>
          <w:tcPr>
            <w:tcW w:w="1195" w:type="dxa"/>
            <w:vMerge w:val="restart"/>
            <w:tcBorders>
              <w:tl2br w:val="nil"/>
              <w:tr2bl w:val="nil"/>
            </w:tcBorders>
            <w:shd w:val="clear" w:color="auto" w:fill="auto"/>
            <w:tcMar>
              <w:top w:w="15" w:type="dxa"/>
              <w:left w:w="15" w:type="dxa"/>
              <w:right w:w="15" w:type="dxa"/>
            </w:tcMar>
            <w:vAlign w:val="center"/>
          </w:tcPr>
          <w:p>
            <w:pPr>
              <w:pStyle w:val="16"/>
              <w:jc w:val="center"/>
              <w:rPr>
                <w:rFonts w:hint="eastAsia"/>
                <w:color w:val="auto"/>
              </w:rPr>
            </w:pPr>
            <w:r>
              <w:rPr>
                <w:rFonts w:hint="eastAsia"/>
                <w:color w:val="auto"/>
                <w:lang w:val="en-US" w:eastAsia="zh-CN"/>
              </w:rPr>
              <w:t>土壤流失量（</w:t>
            </w:r>
            <w:r>
              <w:rPr>
                <w:rFonts w:hint="default"/>
                <w:color w:val="auto"/>
                <w:lang w:val="en-US" w:eastAsia="zh-CN"/>
              </w:rPr>
              <w:t>t</w:t>
            </w:r>
            <w:r>
              <w:rPr>
                <w:rFonts w:hint="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169" w:type="dxa"/>
            <w:vMerge w:val="continue"/>
            <w:tcBorders>
              <w:tl2br w:val="nil"/>
              <w:tr2bl w:val="nil"/>
            </w:tcBorders>
            <w:shd w:val="clear" w:color="auto" w:fill="auto"/>
            <w:tcMar>
              <w:top w:w="15" w:type="dxa"/>
              <w:left w:w="15" w:type="dxa"/>
              <w:right w:w="15" w:type="dxa"/>
            </w:tcMar>
            <w:vAlign w:val="center"/>
          </w:tcPr>
          <w:p>
            <w:pPr>
              <w:pStyle w:val="16"/>
              <w:jc w:val="center"/>
              <w:rPr>
                <w:rFonts w:hint="default"/>
                <w:color w:val="auto"/>
              </w:rPr>
            </w:pPr>
          </w:p>
        </w:tc>
        <w:tc>
          <w:tcPr>
            <w:tcW w:w="1198" w:type="dxa"/>
            <w:vMerge w:val="continue"/>
            <w:tcBorders>
              <w:tl2br w:val="nil"/>
              <w:tr2bl w:val="nil"/>
            </w:tcBorders>
            <w:shd w:val="clear" w:color="auto" w:fill="auto"/>
            <w:tcMar>
              <w:top w:w="15" w:type="dxa"/>
              <w:left w:w="15" w:type="dxa"/>
              <w:right w:w="15" w:type="dxa"/>
            </w:tcMar>
            <w:vAlign w:val="center"/>
          </w:tcPr>
          <w:p>
            <w:pPr>
              <w:pStyle w:val="16"/>
              <w:jc w:val="center"/>
              <w:rPr>
                <w:rFonts w:hint="default"/>
                <w:color w:val="auto"/>
              </w:rPr>
            </w:pPr>
          </w:p>
        </w:tc>
        <w:tc>
          <w:tcPr>
            <w:tcW w:w="1587" w:type="dxa"/>
            <w:vMerge w:val="continue"/>
            <w:tcBorders>
              <w:tl2br w:val="nil"/>
              <w:tr2bl w:val="nil"/>
            </w:tcBorders>
            <w:shd w:val="clear" w:color="auto" w:fill="auto"/>
            <w:tcMar>
              <w:top w:w="15" w:type="dxa"/>
              <w:left w:w="15" w:type="dxa"/>
              <w:right w:w="15" w:type="dxa"/>
            </w:tcMar>
            <w:vAlign w:val="center"/>
          </w:tcPr>
          <w:p>
            <w:pPr>
              <w:pStyle w:val="16"/>
              <w:jc w:val="center"/>
              <w:rPr>
                <w:rFonts w:hint="eastAsia"/>
                <w:color w:val="auto"/>
              </w:rPr>
            </w:pPr>
          </w:p>
        </w:tc>
        <w:tc>
          <w:tcPr>
            <w:tcW w:w="1259" w:type="dxa"/>
            <w:vMerge w:val="continue"/>
            <w:tcBorders>
              <w:tl2br w:val="nil"/>
              <w:tr2bl w:val="nil"/>
            </w:tcBorders>
            <w:shd w:val="clear" w:color="auto" w:fill="auto"/>
            <w:tcMar>
              <w:top w:w="15" w:type="dxa"/>
              <w:left w:w="15" w:type="dxa"/>
              <w:right w:w="15" w:type="dxa"/>
            </w:tcMar>
            <w:vAlign w:val="center"/>
          </w:tcPr>
          <w:p>
            <w:pPr>
              <w:pStyle w:val="16"/>
              <w:jc w:val="center"/>
              <w:rPr>
                <w:rFonts w:hint="eastAsia"/>
                <w:color w:val="auto"/>
              </w:rPr>
            </w:pPr>
          </w:p>
        </w:tc>
        <w:tc>
          <w:tcPr>
            <w:tcW w:w="1175" w:type="dxa"/>
            <w:vMerge w:val="continue"/>
            <w:tcBorders>
              <w:tl2br w:val="nil"/>
              <w:tr2bl w:val="nil"/>
            </w:tcBorders>
            <w:shd w:val="clear" w:color="auto" w:fill="auto"/>
            <w:tcMar>
              <w:top w:w="15" w:type="dxa"/>
              <w:left w:w="15" w:type="dxa"/>
              <w:right w:w="15" w:type="dxa"/>
            </w:tcMar>
            <w:vAlign w:val="center"/>
          </w:tcPr>
          <w:p>
            <w:pPr>
              <w:pStyle w:val="16"/>
              <w:jc w:val="center"/>
              <w:rPr>
                <w:rFonts w:hint="eastAsia"/>
                <w:color w:val="auto"/>
              </w:rPr>
            </w:pPr>
          </w:p>
        </w:tc>
        <w:tc>
          <w:tcPr>
            <w:tcW w:w="1233" w:type="dxa"/>
            <w:vMerge w:val="continue"/>
            <w:tcBorders>
              <w:tl2br w:val="nil"/>
              <w:tr2bl w:val="nil"/>
            </w:tcBorders>
            <w:shd w:val="clear" w:color="auto" w:fill="auto"/>
            <w:tcMar>
              <w:top w:w="15" w:type="dxa"/>
              <w:left w:w="15" w:type="dxa"/>
              <w:right w:w="15" w:type="dxa"/>
            </w:tcMar>
            <w:vAlign w:val="center"/>
          </w:tcPr>
          <w:p>
            <w:pPr>
              <w:pStyle w:val="16"/>
              <w:jc w:val="center"/>
              <w:rPr>
                <w:rFonts w:hint="eastAsia"/>
                <w:color w:val="auto"/>
              </w:rPr>
            </w:pPr>
          </w:p>
        </w:tc>
        <w:tc>
          <w:tcPr>
            <w:tcW w:w="1195" w:type="dxa"/>
            <w:vMerge w:val="continue"/>
            <w:tcBorders>
              <w:tl2br w:val="nil"/>
              <w:tr2bl w:val="nil"/>
            </w:tcBorders>
            <w:shd w:val="clear" w:color="auto" w:fill="auto"/>
            <w:tcMar>
              <w:top w:w="15" w:type="dxa"/>
              <w:left w:w="15" w:type="dxa"/>
              <w:right w:w="15" w:type="dxa"/>
            </w:tcMar>
            <w:vAlign w:val="center"/>
          </w:tcPr>
          <w:p>
            <w:pPr>
              <w:pStyle w:val="16"/>
              <w:jc w:val="cente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169" w:type="dxa"/>
            <w:tcBorders>
              <w:tl2br w:val="nil"/>
              <w:tr2bl w:val="nil"/>
            </w:tcBorders>
            <w:shd w:val="clear" w:color="auto" w:fill="auto"/>
            <w:tcMar>
              <w:top w:w="15" w:type="dxa"/>
              <w:left w:w="15" w:type="dxa"/>
              <w:right w:w="15" w:type="dxa"/>
            </w:tcMar>
            <w:vAlign w:val="center"/>
          </w:tcPr>
          <w:p>
            <w:pPr>
              <w:pStyle w:val="16"/>
              <w:jc w:val="center"/>
              <w:rPr>
                <w:rFonts w:hint="default"/>
                <w:color w:val="auto"/>
              </w:rPr>
            </w:pPr>
            <w:r>
              <w:rPr>
                <w:rFonts w:hint="default"/>
                <w:color w:val="auto"/>
                <w:lang w:val="en-US" w:eastAsia="zh-CN"/>
              </w:rPr>
              <w:t>路基工程区</w:t>
            </w:r>
          </w:p>
        </w:tc>
        <w:tc>
          <w:tcPr>
            <w:tcW w:w="1198" w:type="dxa"/>
            <w:tcBorders>
              <w:tl2br w:val="nil"/>
              <w:tr2bl w:val="nil"/>
            </w:tcBorders>
            <w:shd w:val="clear" w:color="auto" w:fill="auto"/>
            <w:tcMar>
              <w:top w:w="15" w:type="dxa"/>
              <w:left w:w="15" w:type="dxa"/>
              <w:right w:w="15" w:type="dxa"/>
            </w:tcMar>
            <w:vAlign w:val="center"/>
          </w:tcPr>
          <w:p>
            <w:pPr>
              <w:pStyle w:val="16"/>
              <w:jc w:val="center"/>
              <w:rPr>
                <w:rFonts w:hint="default"/>
                <w:color w:val="auto"/>
                <w:lang w:val="en-US"/>
              </w:rPr>
            </w:pPr>
            <w:r>
              <w:rPr>
                <w:rFonts w:hint="eastAsia"/>
                <w:color w:val="auto"/>
                <w:lang w:val="en-US" w:eastAsia="zh-CN"/>
              </w:rPr>
              <w:t>5.43</w:t>
            </w:r>
          </w:p>
        </w:tc>
        <w:tc>
          <w:tcPr>
            <w:tcW w:w="1587" w:type="dxa"/>
            <w:tcBorders>
              <w:tl2br w:val="nil"/>
              <w:tr2bl w:val="nil"/>
            </w:tcBorders>
            <w:shd w:val="clear" w:color="auto" w:fill="auto"/>
            <w:tcMar>
              <w:top w:w="15" w:type="dxa"/>
              <w:left w:w="15" w:type="dxa"/>
              <w:right w:w="15" w:type="dxa"/>
            </w:tcMar>
            <w:vAlign w:val="center"/>
          </w:tcPr>
          <w:p>
            <w:pPr>
              <w:pStyle w:val="16"/>
              <w:jc w:val="center"/>
              <w:rPr>
                <w:rFonts w:hint="eastAsia"/>
                <w:color w:val="auto"/>
              </w:rPr>
            </w:pPr>
            <w:r>
              <w:rPr>
                <w:rFonts w:hint="eastAsia"/>
                <w:color w:val="auto"/>
                <w:lang w:val="en-US" w:eastAsia="zh-CN"/>
              </w:rPr>
              <w:t>2016.10-2018.12</w:t>
            </w:r>
          </w:p>
        </w:tc>
        <w:tc>
          <w:tcPr>
            <w:tcW w:w="1259" w:type="dxa"/>
            <w:tcBorders>
              <w:tl2br w:val="nil"/>
              <w:tr2bl w:val="nil"/>
            </w:tcBorders>
            <w:shd w:val="clear" w:color="auto" w:fill="auto"/>
            <w:tcMar>
              <w:top w:w="15" w:type="dxa"/>
              <w:left w:w="15" w:type="dxa"/>
              <w:right w:w="15" w:type="dxa"/>
            </w:tcMar>
            <w:vAlign w:val="center"/>
          </w:tcPr>
          <w:p>
            <w:pPr>
              <w:pStyle w:val="16"/>
              <w:jc w:val="center"/>
              <w:rPr>
                <w:rFonts w:hint="eastAsia"/>
                <w:color w:val="auto"/>
              </w:rPr>
            </w:pPr>
            <w:r>
              <w:rPr>
                <w:rFonts w:hint="eastAsia"/>
                <w:color w:val="auto"/>
                <w:lang w:val="en-US" w:eastAsia="zh-CN"/>
              </w:rPr>
              <w:t>微度</w:t>
            </w:r>
          </w:p>
        </w:tc>
        <w:tc>
          <w:tcPr>
            <w:tcW w:w="1175" w:type="dxa"/>
            <w:tcBorders>
              <w:tl2br w:val="nil"/>
              <w:tr2bl w:val="nil"/>
            </w:tcBorders>
            <w:shd w:val="clear" w:color="auto" w:fill="auto"/>
            <w:tcMar>
              <w:top w:w="15" w:type="dxa"/>
              <w:left w:w="15" w:type="dxa"/>
              <w:right w:w="15" w:type="dxa"/>
            </w:tcMar>
            <w:vAlign w:val="center"/>
          </w:tcPr>
          <w:p>
            <w:pPr>
              <w:pStyle w:val="16"/>
              <w:jc w:val="center"/>
              <w:rPr>
                <w:rFonts w:hint="eastAsia"/>
                <w:color w:val="auto"/>
              </w:rPr>
            </w:pPr>
            <w:r>
              <w:rPr>
                <w:rFonts w:hint="eastAsia"/>
                <w:color w:val="auto"/>
                <w:lang w:val="en-US" w:eastAsia="zh-CN"/>
              </w:rPr>
              <w:t>2</w:t>
            </w:r>
          </w:p>
        </w:tc>
        <w:tc>
          <w:tcPr>
            <w:tcW w:w="1233" w:type="dxa"/>
            <w:tcBorders>
              <w:tl2br w:val="nil"/>
              <w:tr2bl w:val="nil"/>
            </w:tcBorders>
            <w:shd w:val="clear" w:color="auto" w:fill="auto"/>
            <w:tcMar>
              <w:top w:w="15" w:type="dxa"/>
              <w:left w:w="15" w:type="dxa"/>
              <w:right w:w="15" w:type="dxa"/>
            </w:tcMar>
            <w:vAlign w:val="center"/>
          </w:tcPr>
          <w:p>
            <w:pPr>
              <w:pStyle w:val="16"/>
              <w:jc w:val="center"/>
              <w:rPr>
                <w:rFonts w:hint="default"/>
                <w:color w:val="auto"/>
                <w:lang w:val="en-US"/>
              </w:rPr>
            </w:pPr>
            <w:r>
              <w:rPr>
                <w:rFonts w:hint="eastAsia"/>
                <w:color w:val="auto"/>
                <w:lang w:val="en-US" w:eastAsia="zh-CN"/>
              </w:rPr>
              <w:t>350</w:t>
            </w:r>
          </w:p>
        </w:tc>
        <w:tc>
          <w:tcPr>
            <w:tcW w:w="1195" w:type="dxa"/>
            <w:tcBorders>
              <w:tl2br w:val="nil"/>
              <w:tr2bl w:val="nil"/>
            </w:tcBorders>
            <w:shd w:val="clear" w:color="auto" w:fill="auto"/>
            <w:tcMar>
              <w:top w:w="15" w:type="dxa"/>
              <w:left w:w="15" w:type="dxa"/>
              <w:right w:w="15" w:type="dxa"/>
            </w:tcMar>
            <w:vAlign w:val="center"/>
          </w:tcPr>
          <w:p>
            <w:pPr>
              <w:pStyle w:val="16"/>
              <w:jc w:val="center"/>
              <w:rPr>
                <w:rFonts w:hint="eastAsia"/>
                <w:color w:val="auto"/>
              </w:rPr>
            </w:pPr>
            <w:r>
              <w:rPr>
                <w:rFonts w:hint="eastAsia"/>
                <w:color w:val="auto"/>
                <w:lang w:val="en-US" w:eastAsia="zh-CN"/>
              </w:rPr>
              <w:t>38.02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169" w:type="dxa"/>
            <w:tcBorders>
              <w:tl2br w:val="nil"/>
              <w:tr2bl w:val="nil"/>
            </w:tcBorders>
            <w:shd w:val="clear" w:color="auto" w:fill="auto"/>
            <w:tcMar>
              <w:top w:w="15" w:type="dxa"/>
              <w:left w:w="15" w:type="dxa"/>
              <w:right w:w="15" w:type="dxa"/>
            </w:tcMar>
            <w:vAlign w:val="center"/>
          </w:tcPr>
          <w:p>
            <w:pPr>
              <w:pStyle w:val="16"/>
              <w:jc w:val="center"/>
              <w:rPr>
                <w:rFonts w:hint="default"/>
                <w:color w:val="auto"/>
              </w:rPr>
            </w:pPr>
            <w:r>
              <w:rPr>
                <w:rFonts w:hint="default"/>
                <w:color w:val="auto"/>
                <w:lang w:val="en-US" w:eastAsia="zh-CN"/>
              </w:rPr>
              <w:t>合计</w:t>
            </w:r>
          </w:p>
        </w:tc>
        <w:tc>
          <w:tcPr>
            <w:tcW w:w="1198" w:type="dxa"/>
            <w:tcBorders>
              <w:tl2br w:val="nil"/>
              <w:tr2bl w:val="nil"/>
            </w:tcBorders>
            <w:shd w:val="clear" w:color="auto" w:fill="auto"/>
            <w:tcMar>
              <w:top w:w="15" w:type="dxa"/>
              <w:left w:w="15" w:type="dxa"/>
              <w:right w:w="15" w:type="dxa"/>
            </w:tcMar>
            <w:vAlign w:val="center"/>
          </w:tcPr>
          <w:p>
            <w:pPr>
              <w:pStyle w:val="16"/>
              <w:jc w:val="center"/>
              <w:rPr>
                <w:rFonts w:hint="eastAsia"/>
                <w:color w:val="auto"/>
              </w:rPr>
            </w:pPr>
            <w:r>
              <w:rPr>
                <w:rFonts w:hint="eastAsia"/>
                <w:color w:val="auto"/>
                <w:lang w:val="en-US" w:eastAsia="zh-CN"/>
              </w:rPr>
              <w:t>5.43</w:t>
            </w:r>
          </w:p>
        </w:tc>
        <w:tc>
          <w:tcPr>
            <w:tcW w:w="1587" w:type="dxa"/>
            <w:tcBorders>
              <w:tl2br w:val="nil"/>
              <w:tr2bl w:val="nil"/>
            </w:tcBorders>
            <w:shd w:val="clear" w:color="auto" w:fill="auto"/>
            <w:tcMar>
              <w:top w:w="15" w:type="dxa"/>
              <w:left w:w="15" w:type="dxa"/>
              <w:right w:w="15" w:type="dxa"/>
            </w:tcMar>
            <w:vAlign w:val="center"/>
          </w:tcPr>
          <w:p>
            <w:pPr>
              <w:pStyle w:val="16"/>
              <w:jc w:val="center"/>
              <w:rPr>
                <w:rFonts w:hint="eastAsia"/>
                <w:color w:val="auto"/>
              </w:rPr>
            </w:pPr>
            <w:r>
              <w:rPr>
                <w:rFonts w:hint="eastAsia"/>
                <w:color w:val="auto"/>
                <w:lang w:val="en-US" w:eastAsia="zh-CN"/>
              </w:rPr>
              <w:t>2016.10-2018.12</w:t>
            </w:r>
          </w:p>
        </w:tc>
        <w:tc>
          <w:tcPr>
            <w:tcW w:w="1259" w:type="dxa"/>
            <w:tcBorders>
              <w:tl2br w:val="nil"/>
              <w:tr2bl w:val="nil"/>
            </w:tcBorders>
            <w:shd w:val="clear" w:color="auto" w:fill="auto"/>
            <w:tcMar>
              <w:top w:w="15" w:type="dxa"/>
              <w:left w:w="15" w:type="dxa"/>
              <w:right w:w="15" w:type="dxa"/>
            </w:tcMar>
            <w:vAlign w:val="center"/>
          </w:tcPr>
          <w:p>
            <w:pPr>
              <w:pStyle w:val="16"/>
              <w:jc w:val="center"/>
              <w:rPr>
                <w:rFonts w:hint="eastAsia"/>
                <w:color w:val="auto"/>
              </w:rPr>
            </w:pPr>
            <w:r>
              <w:rPr>
                <w:rFonts w:hint="eastAsia"/>
                <w:color w:val="auto"/>
                <w:lang w:val="en-US" w:eastAsia="zh-CN"/>
              </w:rPr>
              <w:t>微度</w:t>
            </w:r>
          </w:p>
        </w:tc>
        <w:tc>
          <w:tcPr>
            <w:tcW w:w="1175" w:type="dxa"/>
            <w:tcBorders>
              <w:tl2br w:val="nil"/>
              <w:tr2bl w:val="nil"/>
            </w:tcBorders>
            <w:shd w:val="clear" w:color="auto" w:fill="auto"/>
            <w:tcMar>
              <w:top w:w="15" w:type="dxa"/>
              <w:left w:w="15" w:type="dxa"/>
              <w:right w:w="15" w:type="dxa"/>
            </w:tcMar>
            <w:vAlign w:val="center"/>
          </w:tcPr>
          <w:p>
            <w:pPr>
              <w:pStyle w:val="16"/>
              <w:jc w:val="center"/>
              <w:rPr>
                <w:rFonts w:hint="eastAsia"/>
                <w:color w:val="auto"/>
              </w:rPr>
            </w:pPr>
            <w:r>
              <w:rPr>
                <w:rFonts w:hint="eastAsia"/>
                <w:color w:val="auto"/>
                <w:lang w:val="en-US" w:eastAsia="zh-CN"/>
              </w:rPr>
              <w:t>2</w:t>
            </w:r>
          </w:p>
        </w:tc>
        <w:tc>
          <w:tcPr>
            <w:tcW w:w="1233" w:type="dxa"/>
            <w:tcBorders>
              <w:tl2br w:val="nil"/>
              <w:tr2bl w:val="nil"/>
            </w:tcBorders>
            <w:shd w:val="clear" w:color="auto" w:fill="auto"/>
            <w:tcMar>
              <w:top w:w="15" w:type="dxa"/>
              <w:left w:w="15" w:type="dxa"/>
              <w:right w:w="15" w:type="dxa"/>
            </w:tcMar>
            <w:vAlign w:val="center"/>
          </w:tcPr>
          <w:p>
            <w:pPr>
              <w:pStyle w:val="16"/>
              <w:jc w:val="center"/>
              <w:rPr>
                <w:rFonts w:hint="eastAsia"/>
                <w:color w:val="auto"/>
              </w:rPr>
            </w:pPr>
            <w:r>
              <w:rPr>
                <w:rFonts w:hint="eastAsia"/>
                <w:color w:val="auto"/>
                <w:lang w:val="en-US" w:eastAsia="zh-CN"/>
              </w:rPr>
              <w:t>350</w:t>
            </w:r>
          </w:p>
        </w:tc>
        <w:tc>
          <w:tcPr>
            <w:tcW w:w="1195" w:type="dxa"/>
            <w:tcBorders>
              <w:tl2br w:val="nil"/>
              <w:tr2bl w:val="nil"/>
            </w:tcBorders>
            <w:shd w:val="clear" w:color="auto" w:fill="auto"/>
            <w:tcMar>
              <w:top w:w="15" w:type="dxa"/>
              <w:left w:w="15" w:type="dxa"/>
              <w:right w:w="15" w:type="dxa"/>
            </w:tcMar>
            <w:vAlign w:val="center"/>
          </w:tcPr>
          <w:p>
            <w:pPr>
              <w:pStyle w:val="16"/>
              <w:jc w:val="center"/>
              <w:rPr>
                <w:rFonts w:hint="eastAsia"/>
                <w:color w:val="auto"/>
              </w:rPr>
            </w:pPr>
            <w:r>
              <w:rPr>
                <w:rFonts w:hint="eastAsia"/>
                <w:color w:val="auto"/>
                <w:lang w:val="en-US" w:eastAsia="zh-CN"/>
              </w:rPr>
              <w:t>38.02</w:t>
            </w:r>
          </w:p>
        </w:tc>
      </w:tr>
    </w:tbl>
    <w:p>
      <w:pPr>
        <w:ind w:left="0" w:leftChars="0" w:firstLine="0" w:firstLineChars="0"/>
        <w:rPr>
          <w:rFonts w:hint="default"/>
          <w:color w:val="auto"/>
          <w:lang w:val="zh-CN" w:eastAsia="zh-CN"/>
        </w:rPr>
      </w:pPr>
    </w:p>
    <w:p>
      <w:pPr>
        <w:pStyle w:val="3"/>
        <w:rPr>
          <w:rFonts w:hint="default"/>
          <w:color w:val="auto"/>
        </w:rPr>
      </w:pPr>
      <w:bookmarkStart w:id="154" w:name="_Toc4742"/>
      <w:r>
        <w:rPr>
          <w:rFonts w:hint="default"/>
          <w:color w:val="auto"/>
        </w:rPr>
        <w:t>5.4水土流失危害</w:t>
      </w:r>
      <w:bookmarkEnd w:id="152"/>
      <w:bookmarkEnd w:id="153"/>
      <w:bookmarkEnd w:id="154"/>
    </w:p>
    <w:p>
      <w:pPr>
        <w:rPr>
          <w:rFonts w:hint="default" w:ascii="Times New Roman" w:hAnsi="Times New Roman" w:eastAsia="仿宋_GB2312" w:cs="Times New Roman"/>
          <w:color w:val="auto"/>
          <w:spacing w:val="0"/>
          <w:sz w:val="24"/>
          <w:szCs w:val="28"/>
        </w:rPr>
      </w:pPr>
      <w:r>
        <w:rPr>
          <w:rFonts w:hint="default" w:ascii="Times New Roman" w:hAnsi="Times New Roman" w:eastAsia="仿宋_GB2312" w:cs="Times New Roman"/>
          <w:color w:val="auto"/>
          <w:spacing w:val="0"/>
          <w:sz w:val="24"/>
        </w:rPr>
        <w:t>根据现场调查</w:t>
      </w:r>
      <w:r>
        <w:rPr>
          <w:rFonts w:hint="default" w:ascii="Times New Roman" w:hAnsi="Times New Roman" w:eastAsia="仿宋_GB2312" w:cs="Times New Roman"/>
          <w:color w:val="auto"/>
          <w:spacing w:val="0"/>
          <w:sz w:val="24"/>
          <w:lang w:val="zh-CN"/>
        </w:rPr>
        <w:t>，本项目在建设过程中，实施了完善的水土流失危害防治措施及应急预案，通过监测人员对项目建设区造成的水土流失对周边农田、乡村道路及植被的危害调查、对周边民房、居民造成的影响状况、水土流失危害趋势以及可能发生灾害现象、造成水土流失对区域生态环境影响状况等的现场调查结果显示，本项目建设期间没有水土流失危害事件的发生。</w:t>
      </w:r>
    </w:p>
    <w:p>
      <w:pPr>
        <w:rPr>
          <w:rFonts w:hint="default"/>
          <w:color w:val="auto"/>
        </w:rPr>
        <w:sectPr>
          <w:headerReference r:id="rId13" w:type="default"/>
          <w:pgSz w:w="11906" w:h="16838"/>
          <w:pgMar w:top="1440" w:right="1418" w:bottom="1440" w:left="1701" w:header="851" w:footer="992" w:gutter="0"/>
          <w:pgBorders>
            <w:top w:val="none" w:sz="0" w:space="0"/>
            <w:left w:val="none" w:sz="0" w:space="0"/>
            <w:bottom w:val="none" w:sz="0" w:space="0"/>
            <w:right w:val="none" w:sz="0" w:space="0"/>
          </w:pgBorders>
          <w:pgNumType w:fmt="decimal"/>
          <w:cols w:space="720" w:num="1"/>
          <w:docGrid w:linePitch="326" w:charSpace="0"/>
        </w:sectPr>
      </w:pPr>
    </w:p>
    <w:p>
      <w:pPr>
        <w:pStyle w:val="2"/>
        <w:rPr>
          <w:rFonts w:hint="default" w:ascii="Times New Roman" w:hAnsi="Times New Roman" w:eastAsia="仿宋_GB2312" w:cs="Times New Roman"/>
          <w:color w:val="auto"/>
          <w:spacing w:val="0"/>
          <w:sz w:val="24"/>
        </w:rPr>
      </w:pPr>
      <w:bookmarkStart w:id="155" w:name="_Toc16266"/>
      <w:r>
        <w:rPr>
          <w:rFonts w:hint="default"/>
          <w:color w:val="auto"/>
        </w:rPr>
        <w:t>6水土流失防治效果监测结果</w:t>
      </w:r>
      <w:bookmarkEnd w:id="149"/>
      <w:bookmarkEnd w:id="150"/>
      <w:bookmarkEnd w:id="151"/>
      <w:bookmarkEnd w:id="155"/>
      <w:r>
        <w:rPr>
          <w:rFonts w:hint="default"/>
          <w:color w:val="auto"/>
        </w:rPr>
        <w:tab/>
      </w:r>
    </w:p>
    <w:p>
      <w:pPr>
        <w:pStyle w:val="3"/>
        <w:rPr>
          <w:rFonts w:hint="default"/>
          <w:color w:val="auto"/>
        </w:rPr>
      </w:pPr>
      <w:bookmarkStart w:id="156" w:name="_Toc400529697"/>
      <w:bookmarkStart w:id="157" w:name="_Toc3238"/>
      <w:bookmarkStart w:id="158" w:name="_Toc371174623"/>
      <w:bookmarkStart w:id="159" w:name="_Toc400530798"/>
      <w:r>
        <w:rPr>
          <w:rFonts w:hint="default"/>
          <w:color w:val="auto"/>
        </w:rPr>
        <w:t>6.1扰动土地整治率</w:t>
      </w:r>
      <w:bookmarkEnd w:id="156"/>
      <w:bookmarkEnd w:id="157"/>
      <w:bookmarkEnd w:id="158"/>
      <w:bookmarkEnd w:id="159"/>
    </w:p>
    <w:p>
      <w:pPr>
        <w:ind w:firstLine="480"/>
        <w:rPr>
          <w:color w:val="auto"/>
        </w:rPr>
      </w:pPr>
      <w:bookmarkStart w:id="160" w:name="_Toc371174624"/>
      <w:bookmarkStart w:id="161" w:name="_Toc400529698"/>
      <w:bookmarkStart w:id="162" w:name="_Toc400530799"/>
      <w:r>
        <w:rPr>
          <w:rFonts w:hint="eastAsia"/>
          <w:color w:val="auto"/>
        </w:rPr>
        <w:t>本项目建设区总征占地面积</w:t>
      </w:r>
      <w:r>
        <w:rPr>
          <w:rFonts w:hint="eastAsia"/>
          <w:color w:val="auto"/>
          <w:lang w:val="en-US" w:eastAsia="zh-CN"/>
        </w:rPr>
        <w:t>5.43</w:t>
      </w:r>
      <w:r>
        <w:rPr>
          <w:rFonts w:hint="eastAsia"/>
          <w:color w:val="auto"/>
        </w:rPr>
        <w:t>hm</w:t>
      </w:r>
      <w:r>
        <w:rPr>
          <w:rFonts w:hint="eastAsia"/>
          <w:color w:val="auto"/>
          <w:vertAlign w:val="superscript"/>
        </w:rPr>
        <w:t>2</w:t>
      </w:r>
      <w:r>
        <w:rPr>
          <w:rFonts w:hint="eastAsia"/>
          <w:color w:val="auto"/>
        </w:rPr>
        <w:t>，扰动地表治理面积</w:t>
      </w:r>
      <w:r>
        <w:rPr>
          <w:rFonts w:hint="eastAsia"/>
          <w:color w:val="auto"/>
          <w:lang w:val="en-US" w:eastAsia="zh-CN"/>
        </w:rPr>
        <w:t>1.98</w:t>
      </w:r>
      <w:r>
        <w:rPr>
          <w:rFonts w:hint="eastAsia"/>
          <w:color w:val="auto"/>
        </w:rPr>
        <w:t>hm</w:t>
      </w:r>
      <w:r>
        <w:rPr>
          <w:rFonts w:hint="eastAsia"/>
          <w:color w:val="auto"/>
          <w:vertAlign w:val="superscript"/>
        </w:rPr>
        <w:t>2</w:t>
      </w:r>
      <w:r>
        <w:rPr>
          <w:rFonts w:hint="eastAsia"/>
          <w:color w:val="auto"/>
        </w:rPr>
        <w:t>（其中工程措施面积</w:t>
      </w:r>
      <w:r>
        <w:rPr>
          <w:rFonts w:hint="eastAsia"/>
          <w:color w:val="auto"/>
          <w:lang w:val="en-US" w:eastAsia="zh-CN"/>
        </w:rPr>
        <w:t>0.50</w:t>
      </w:r>
      <w:r>
        <w:rPr>
          <w:rFonts w:hint="eastAsia"/>
          <w:color w:val="auto"/>
        </w:rPr>
        <w:t>hm</w:t>
      </w:r>
      <w:r>
        <w:rPr>
          <w:rFonts w:hint="eastAsia"/>
          <w:color w:val="auto"/>
          <w:vertAlign w:val="superscript"/>
        </w:rPr>
        <w:t>2</w:t>
      </w:r>
      <w:r>
        <w:rPr>
          <w:rFonts w:hint="eastAsia"/>
          <w:color w:val="auto"/>
        </w:rPr>
        <w:t>，植物措施面积</w:t>
      </w:r>
      <w:r>
        <w:rPr>
          <w:rFonts w:hint="eastAsia"/>
          <w:color w:val="auto"/>
          <w:lang w:val="en-US" w:eastAsia="zh-CN"/>
        </w:rPr>
        <w:t>1.48</w:t>
      </w:r>
      <w:r>
        <w:rPr>
          <w:rFonts w:hint="eastAsia"/>
          <w:color w:val="auto"/>
        </w:rPr>
        <w:t>hm</w:t>
      </w:r>
      <w:r>
        <w:rPr>
          <w:rFonts w:hint="eastAsia"/>
          <w:color w:val="auto"/>
          <w:vertAlign w:val="superscript"/>
        </w:rPr>
        <w:t>2</w:t>
      </w:r>
      <w:r>
        <w:rPr>
          <w:rFonts w:hint="eastAsia"/>
          <w:color w:val="auto"/>
        </w:rPr>
        <w:t>），永久建筑及硬化面积占地</w:t>
      </w:r>
      <w:r>
        <w:rPr>
          <w:rFonts w:hint="eastAsia"/>
          <w:color w:val="auto"/>
          <w:lang w:val="en-US" w:eastAsia="zh-CN"/>
        </w:rPr>
        <w:t>3.44</w:t>
      </w:r>
      <w:r>
        <w:rPr>
          <w:rFonts w:hint="eastAsia"/>
          <w:color w:val="auto"/>
        </w:rPr>
        <w:t>hm</w:t>
      </w:r>
      <w:r>
        <w:rPr>
          <w:rFonts w:hint="eastAsia"/>
          <w:color w:val="auto"/>
          <w:vertAlign w:val="superscript"/>
        </w:rPr>
        <w:t>2</w:t>
      </w:r>
      <w:r>
        <w:rPr>
          <w:rFonts w:hint="eastAsia"/>
          <w:color w:val="auto"/>
        </w:rPr>
        <w:t>，详见表5-1。计算得扰动土地整治率99.8</w:t>
      </w:r>
      <w:r>
        <w:rPr>
          <w:rFonts w:hint="eastAsia"/>
          <w:color w:val="auto"/>
          <w:lang w:val="en-US" w:eastAsia="zh-CN"/>
        </w:rPr>
        <w:t>2</w:t>
      </w:r>
      <w:r>
        <w:rPr>
          <w:rFonts w:hint="eastAsia"/>
          <w:color w:val="auto"/>
        </w:rPr>
        <w:t>%，计算公式如下：</w:t>
      </w:r>
    </w:p>
    <w:p>
      <w:pPr>
        <w:spacing w:after="156"/>
        <w:ind w:firstLine="0" w:firstLineChars="0"/>
        <w:rPr>
          <w:rStyle w:val="14"/>
          <w:rFonts w:hint="default"/>
          <w:color w:val="auto"/>
        </w:rPr>
      </w:pPr>
      <w:r>
        <w:rPr>
          <w:rFonts w:hint="eastAsia"/>
          <w:color w:val="auto"/>
          <w:position w:val="-26"/>
        </w:rPr>
        <w:object>
          <v:shape id="_x0000_i1026" o:spt="75" type="#_x0000_t75" style="height:29.75pt;width:462.1pt;" o:ole="t" filled="f" o:preferrelative="t" stroked="f" coordsize="21600,21600">
            <v:path/>
            <v:fill on="f" focussize="0,0"/>
            <v:stroke on="f"/>
            <v:imagedata r:id="rId40" o:title=""/>
            <o:lock v:ext="edit" aspectratio="t"/>
            <w10:wrap type="none"/>
            <w10:anchorlock/>
          </v:shape>
          <o:OLEObject Type="Embed" ProgID="Equation.3" ShapeID="_x0000_i1026" DrawAspect="Content" ObjectID="_1468075726" r:id="rId39">
            <o:LockedField>false</o:LockedField>
          </o:OLEObject>
        </w:object>
      </w:r>
      <w:r>
        <w:rPr>
          <w:rStyle w:val="14"/>
          <w:rFonts w:hint="default"/>
          <w:color w:val="auto"/>
        </w:rPr>
        <w:t>6.2水土流失总治理度</w:t>
      </w:r>
      <w:bookmarkEnd w:id="160"/>
      <w:bookmarkEnd w:id="161"/>
      <w:bookmarkEnd w:id="162"/>
    </w:p>
    <w:p>
      <w:pPr>
        <w:ind w:firstLine="480"/>
        <w:rPr>
          <w:color w:val="auto"/>
        </w:rPr>
      </w:pPr>
      <w:bookmarkStart w:id="163" w:name="_Toc400529699"/>
      <w:bookmarkStart w:id="164" w:name="_Toc400530800"/>
      <w:bookmarkStart w:id="165" w:name="_Toc371174625"/>
      <w:r>
        <w:rPr>
          <w:rFonts w:hint="eastAsia"/>
          <w:color w:val="auto"/>
        </w:rPr>
        <w:t>本项目建设区总征占地面积</w:t>
      </w:r>
      <w:r>
        <w:rPr>
          <w:rFonts w:hint="eastAsia"/>
          <w:color w:val="auto"/>
          <w:lang w:val="en-US" w:eastAsia="zh-CN"/>
        </w:rPr>
        <w:t>5.43</w:t>
      </w:r>
      <w:r>
        <w:rPr>
          <w:rFonts w:hint="eastAsia"/>
          <w:color w:val="auto"/>
        </w:rPr>
        <w:t>hm</w:t>
      </w:r>
      <w:r>
        <w:rPr>
          <w:rFonts w:hint="eastAsia"/>
          <w:color w:val="auto"/>
          <w:vertAlign w:val="superscript"/>
        </w:rPr>
        <w:t>2</w:t>
      </w:r>
      <w:r>
        <w:rPr>
          <w:rFonts w:hint="eastAsia"/>
          <w:color w:val="auto"/>
        </w:rPr>
        <w:t>，扰动地表治理面积</w:t>
      </w:r>
      <w:r>
        <w:rPr>
          <w:rFonts w:hint="eastAsia"/>
          <w:color w:val="auto"/>
          <w:lang w:val="en-US" w:eastAsia="zh-CN"/>
        </w:rPr>
        <w:t>1.98</w:t>
      </w:r>
      <w:r>
        <w:rPr>
          <w:rFonts w:hint="eastAsia"/>
          <w:color w:val="auto"/>
        </w:rPr>
        <w:t>hm</w:t>
      </w:r>
      <w:r>
        <w:rPr>
          <w:rFonts w:hint="eastAsia"/>
          <w:color w:val="auto"/>
          <w:vertAlign w:val="superscript"/>
        </w:rPr>
        <w:t>2</w:t>
      </w:r>
      <w:r>
        <w:rPr>
          <w:rFonts w:hint="eastAsia"/>
          <w:color w:val="auto"/>
        </w:rPr>
        <w:t>（其中工程措施面积</w:t>
      </w:r>
      <w:r>
        <w:rPr>
          <w:rFonts w:hint="eastAsia"/>
          <w:color w:val="auto"/>
          <w:lang w:val="en-US" w:eastAsia="zh-CN"/>
        </w:rPr>
        <w:t>0.50</w:t>
      </w:r>
      <w:r>
        <w:rPr>
          <w:rFonts w:hint="eastAsia"/>
          <w:color w:val="auto"/>
        </w:rPr>
        <w:t>hm</w:t>
      </w:r>
      <w:r>
        <w:rPr>
          <w:rFonts w:hint="eastAsia"/>
          <w:color w:val="auto"/>
          <w:vertAlign w:val="superscript"/>
        </w:rPr>
        <w:t>2</w:t>
      </w:r>
      <w:r>
        <w:rPr>
          <w:rFonts w:hint="eastAsia"/>
          <w:color w:val="auto"/>
        </w:rPr>
        <w:t>，植物措施面积</w:t>
      </w:r>
      <w:r>
        <w:rPr>
          <w:rFonts w:hint="eastAsia"/>
          <w:color w:val="auto"/>
          <w:lang w:val="en-US" w:eastAsia="zh-CN"/>
        </w:rPr>
        <w:t>1.48</w:t>
      </w:r>
      <w:r>
        <w:rPr>
          <w:rFonts w:hint="eastAsia"/>
          <w:color w:val="auto"/>
        </w:rPr>
        <w:t>hm</w:t>
      </w:r>
      <w:r>
        <w:rPr>
          <w:rFonts w:hint="eastAsia"/>
          <w:color w:val="auto"/>
          <w:vertAlign w:val="superscript"/>
        </w:rPr>
        <w:t>2</w:t>
      </w:r>
      <w:r>
        <w:rPr>
          <w:rFonts w:hint="eastAsia"/>
          <w:color w:val="auto"/>
        </w:rPr>
        <w:t>），项目建设共造成水土流失面积</w:t>
      </w:r>
      <w:r>
        <w:rPr>
          <w:rFonts w:hint="eastAsia"/>
          <w:color w:val="auto"/>
          <w:lang w:val="en-US" w:eastAsia="zh-CN"/>
        </w:rPr>
        <w:t>1.99</w:t>
      </w:r>
      <w:r>
        <w:rPr>
          <w:rFonts w:hint="eastAsia"/>
          <w:color w:val="auto"/>
        </w:rPr>
        <w:t>hm</w:t>
      </w:r>
      <w:r>
        <w:rPr>
          <w:rFonts w:hint="eastAsia"/>
          <w:color w:val="auto"/>
          <w:vertAlign w:val="superscript"/>
        </w:rPr>
        <w:t>2</w:t>
      </w:r>
      <w:r>
        <w:rPr>
          <w:rFonts w:hint="eastAsia"/>
          <w:color w:val="auto"/>
        </w:rPr>
        <w:t>。计算得水土流失治理度99.</w:t>
      </w:r>
      <w:r>
        <w:rPr>
          <w:rFonts w:hint="eastAsia"/>
          <w:color w:val="auto"/>
          <w:lang w:val="en-US" w:eastAsia="zh-CN"/>
        </w:rPr>
        <w:t>50</w:t>
      </w:r>
      <w:r>
        <w:rPr>
          <w:rFonts w:hint="eastAsia"/>
          <w:color w:val="auto"/>
        </w:rPr>
        <w:t>%，计算公式如下：</w:t>
      </w:r>
    </w:p>
    <w:p>
      <w:pPr>
        <w:spacing w:after="156"/>
        <w:ind w:firstLine="0" w:firstLineChars="0"/>
        <w:rPr>
          <w:color w:val="auto"/>
          <w:highlight w:val="none"/>
          <w:lang w:eastAsia="zh-CN"/>
        </w:rPr>
      </w:pPr>
      <w:r>
        <w:rPr>
          <w:rFonts w:hint="eastAsia"/>
          <w:color w:val="auto"/>
          <w:position w:val="-26"/>
        </w:rPr>
        <w:object>
          <v:shape id="_x0000_i1027" o:spt="75" type="#_x0000_t75" style="height:29.85pt;width:400.1pt;" o:ole="t" filled="f" o:preferrelative="t" stroked="f" coordsize="21600,21600">
            <v:path/>
            <v:fill on="f" focussize="0,0"/>
            <v:stroke on="f"/>
            <v:imagedata r:id="rId42" o:title=""/>
            <o:lock v:ext="edit" aspectratio="t"/>
            <w10:wrap type="none"/>
            <w10:anchorlock/>
          </v:shape>
          <o:OLEObject Type="Embed" ProgID="Equation.3" ShapeID="_x0000_i1027" DrawAspect="Content" ObjectID="_1468075727" r:id="rId41">
            <o:LockedField>false</o:LockedField>
          </o:OLEObject>
        </w:object>
      </w:r>
    </w:p>
    <w:p>
      <w:pPr>
        <w:pStyle w:val="3"/>
        <w:rPr>
          <w:rFonts w:hint="default"/>
          <w:color w:val="auto"/>
        </w:rPr>
      </w:pPr>
      <w:bookmarkStart w:id="166" w:name="_Toc3273"/>
      <w:r>
        <w:rPr>
          <w:rFonts w:hint="default"/>
          <w:color w:val="auto"/>
        </w:rPr>
        <w:t>6.3拦渣率</w:t>
      </w:r>
      <w:bookmarkEnd w:id="163"/>
      <w:bookmarkEnd w:id="164"/>
      <w:bookmarkEnd w:id="165"/>
      <w:bookmarkEnd w:id="166"/>
    </w:p>
    <w:p>
      <w:pPr>
        <w:bidi w:val="0"/>
        <w:rPr>
          <w:color w:val="auto"/>
          <w:highlight w:val="none"/>
        </w:rPr>
      </w:pPr>
      <w:bookmarkStart w:id="167" w:name="_Toc400529700"/>
      <w:bookmarkStart w:id="168" w:name="_Toc371174626"/>
      <w:bookmarkStart w:id="169" w:name="_Toc400530801"/>
      <w:r>
        <w:rPr>
          <w:rFonts w:hint="eastAsia"/>
          <w:color w:val="auto"/>
        </w:rPr>
        <w:t>经建设单位</w:t>
      </w:r>
      <w:r>
        <w:rPr>
          <w:color w:val="auto"/>
        </w:rPr>
        <w:t>提供资料</w:t>
      </w:r>
      <w:r>
        <w:rPr>
          <w:rFonts w:hint="eastAsia"/>
          <w:color w:val="auto"/>
        </w:rPr>
        <w:t>及</w:t>
      </w:r>
      <w:r>
        <w:rPr>
          <w:color w:val="auto"/>
        </w:rPr>
        <w:t>调查结果</w:t>
      </w:r>
      <w:r>
        <w:rPr>
          <w:rFonts w:hint="eastAsia"/>
          <w:color w:val="auto"/>
        </w:rPr>
        <w:t>，本项目实际开挖土石方量</w:t>
      </w:r>
      <w:r>
        <w:rPr>
          <w:color w:val="auto"/>
        </w:rPr>
        <w:t>18.56</w:t>
      </w:r>
      <w:r>
        <w:rPr>
          <w:rFonts w:hint="eastAsia"/>
          <w:color w:val="auto"/>
        </w:rPr>
        <w:t>万m</w:t>
      </w:r>
      <w:r>
        <w:rPr>
          <w:rFonts w:hint="eastAsia"/>
          <w:color w:val="auto"/>
          <w:vertAlign w:val="superscript"/>
        </w:rPr>
        <w:t>3</w:t>
      </w:r>
      <w:r>
        <w:rPr>
          <w:rFonts w:hint="eastAsia"/>
          <w:color w:val="auto"/>
        </w:rPr>
        <w:t>，回填土石方量</w:t>
      </w:r>
      <w:r>
        <w:rPr>
          <w:color w:val="auto"/>
        </w:rPr>
        <w:t>9.66</w:t>
      </w:r>
      <w:r>
        <w:rPr>
          <w:rFonts w:hint="eastAsia"/>
          <w:color w:val="auto"/>
        </w:rPr>
        <w:t>万m</w:t>
      </w:r>
      <w:r>
        <w:rPr>
          <w:rFonts w:hint="eastAsia"/>
          <w:color w:val="auto"/>
          <w:vertAlign w:val="superscript"/>
        </w:rPr>
        <w:t>3</w:t>
      </w:r>
      <w:r>
        <w:rPr>
          <w:rFonts w:hint="eastAsia"/>
          <w:color w:val="auto"/>
        </w:rPr>
        <w:t>，</w:t>
      </w:r>
      <w:r>
        <w:rPr>
          <w:rFonts w:hint="eastAsia"/>
          <w:bCs/>
          <w:color w:val="auto"/>
        </w:rPr>
        <w:t>G320线普安江西坡至三板桥段改扩建工程建设</w:t>
      </w:r>
      <w:r>
        <w:rPr>
          <w:bCs/>
          <w:color w:val="auto"/>
        </w:rPr>
        <w:t>借用</w:t>
      </w:r>
      <w:r>
        <w:rPr>
          <w:color w:val="auto"/>
        </w:rPr>
        <w:t>8.90</w:t>
      </w:r>
      <w:r>
        <w:rPr>
          <w:rFonts w:hint="eastAsia"/>
          <w:color w:val="auto"/>
        </w:rPr>
        <w:t>万m</w:t>
      </w:r>
      <w:r>
        <w:rPr>
          <w:rFonts w:hint="eastAsia"/>
          <w:color w:val="auto"/>
          <w:vertAlign w:val="superscript"/>
        </w:rPr>
        <w:t>3</w:t>
      </w:r>
      <w:r>
        <w:rPr>
          <w:rFonts w:hint="eastAsia"/>
          <w:color w:val="auto"/>
        </w:rPr>
        <w:t>用于</w:t>
      </w:r>
      <w:r>
        <w:rPr>
          <w:color w:val="auto"/>
        </w:rPr>
        <w:t>项目回填</w:t>
      </w:r>
      <w:r>
        <w:rPr>
          <w:rFonts w:hint="eastAsia"/>
          <w:color w:val="auto"/>
        </w:rPr>
        <w:t>，无废弃</w:t>
      </w:r>
      <w:r>
        <w:rPr>
          <w:color w:val="auto"/>
        </w:rPr>
        <w:t>土石方</w:t>
      </w:r>
      <w:r>
        <w:rPr>
          <w:rFonts w:hint="eastAsia"/>
          <w:color w:val="auto"/>
        </w:rPr>
        <w:t>。经</w:t>
      </w:r>
      <w:r>
        <w:rPr>
          <w:color w:val="auto"/>
        </w:rPr>
        <w:t>计算得拦渣率</w:t>
      </w:r>
      <w:r>
        <w:rPr>
          <w:rFonts w:hint="eastAsia"/>
          <w:color w:val="auto"/>
          <w:lang w:eastAsia="zh-CN"/>
        </w:rPr>
        <w:t>大于</w:t>
      </w:r>
      <w:r>
        <w:rPr>
          <w:rFonts w:hint="eastAsia"/>
          <w:color w:val="auto"/>
        </w:rPr>
        <w:t>99</w:t>
      </w:r>
      <w:r>
        <w:rPr>
          <w:color w:val="auto"/>
        </w:rPr>
        <w:t>%。</w:t>
      </w:r>
    </w:p>
    <w:p>
      <w:pPr>
        <w:pStyle w:val="3"/>
        <w:rPr>
          <w:rFonts w:hint="default"/>
          <w:color w:val="auto"/>
        </w:rPr>
      </w:pPr>
      <w:bookmarkStart w:id="170" w:name="_Toc27177"/>
      <w:r>
        <w:rPr>
          <w:rFonts w:hint="default"/>
          <w:color w:val="auto"/>
        </w:rPr>
        <w:t>6.4土壤流失控制比</w:t>
      </w:r>
      <w:bookmarkEnd w:id="167"/>
      <w:bookmarkEnd w:id="168"/>
      <w:bookmarkEnd w:id="169"/>
      <w:bookmarkEnd w:id="170"/>
    </w:p>
    <w:p>
      <w:pPr>
        <w:spacing w:after="156"/>
        <w:ind w:firstLine="480"/>
        <w:rPr>
          <w:color w:val="auto"/>
        </w:rPr>
      </w:pPr>
      <w:bookmarkStart w:id="171" w:name="_Toc400529701"/>
      <w:bookmarkStart w:id="172" w:name="_Toc371174627"/>
      <w:bookmarkStart w:id="173" w:name="_Toc400530802"/>
      <w:r>
        <w:rPr>
          <w:color w:val="auto"/>
        </w:rPr>
        <w:t>本项目位于贵州省</w:t>
      </w:r>
      <w:r>
        <w:rPr>
          <w:rFonts w:hint="eastAsia"/>
          <w:color w:val="auto"/>
          <w:spacing w:val="-2"/>
          <w:szCs w:val="28"/>
        </w:rPr>
        <w:t>重点治理区</w:t>
      </w:r>
      <w:r>
        <w:rPr>
          <w:color w:val="auto"/>
        </w:rPr>
        <w:t>，容许侵蚀模数为500t/k</w:t>
      </w:r>
      <w:r>
        <w:rPr>
          <w:rFonts w:hint="eastAsia"/>
          <w:color w:val="auto"/>
        </w:rPr>
        <w:t>m</w:t>
      </w:r>
      <w:r>
        <w:rPr>
          <w:rFonts w:hint="eastAsia"/>
          <w:color w:val="auto"/>
          <w:vertAlign w:val="superscript"/>
        </w:rPr>
        <w:t>2</w:t>
      </w:r>
      <w:r>
        <w:rPr>
          <w:rFonts w:hint="eastAsia"/>
          <w:color w:val="auto"/>
        </w:rPr>
        <w:t>·</w:t>
      </w:r>
      <w:r>
        <w:rPr>
          <w:color w:val="auto"/>
        </w:rPr>
        <w:t>a，项目建设区占地面积</w:t>
      </w:r>
      <w:r>
        <w:rPr>
          <w:rFonts w:hint="eastAsia"/>
          <w:color w:val="auto"/>
          <w:lang w:val="en-US" w:eastAsia="zh-CN"/>
        </w:rPr>
        <w:t>5.43</w:t>
      </w:r>
      <w:r>
        <w:rPr>
          <w:color w:val="auto"/>
        </w:rPr>
        <w:t>h</w:t>
      </w:r>
      <w:r>
        <w:rPr>
          <w:rFonts w:hint="eastAsia"/>
          <w:color w:val="auto"/>
        </w:rPr>
        <w:t>m</w:t>
      </w:r>
      <w:r>
        <w:rPr>
          <w:rFonts w:hint="eastAsia"/>
          <w:color w:val="auto"/>
          <w:vertAlign w:val="superscript"/>
        </w:rPr>
        <w:t>2</w:t>
      </w:r>
      <w:r>
        <w:rPr>
          <w:color w:val="auto"/>
        </w:rPr>
        <w:t>，监测结果显示，指标评价区域内现状侵蚀模</w:t>
      </w:r>
      <w:r>
        <w:rPr>
          <w:rFonts w:hint="eastAsia"/>
          <w:color w:val="auto"/>
          <w:lang w:val="en-US" w:eastAsia="zh-CN"/>
        </w:rPr>
        <w:t>350</w:t>
      </w:r>
      <w:r>
        <w:rPr>
          <w:color w:val="auto"/>
        </w:rPr>
        <w:t>t/k</w:t>
      </w:r>
      <w:r>
        <w:rPr>
          <w:rFonts w:hint="eastAsia"/>
          <w:color w:val="auto"/>
        </w:rPr>
        <w:t>m</w:t>
      </w:r>
      <w:r>
        <w:rPr>
          <w:rFonts w:hint="eastAsia"/>
          <w:color w:val="auto"/>
          <w:vertAlign w:val="superscript"/>
        </w:rPr>
        <w:t>2</w:t>
      </w:r>
      <w:r>
        <w:rPr>
          <w:rFonts w:hint="eastAsia"/>
          <w:color w:val="auto"/>
        </w:rPr>
        <w:t>·</w:t>
      </w:r>
      <w:r>
        <w:rPr>
          <w:color w:val="auto"/>
        </w:rPr>
        <w:t>a。计算得</w:t>
      </w:r>
      <w:r>
        <w:rPr>
          <w:rFonts w:hint="eastAsia"/>
          <w:color w:val="auto"/>
        </w:rPr>
        <w:t>土壤流失控制比</w:t>
      </w:r>
      <w:r>
        <w:rPr>
          <w:color w:val="auto"/>
        </w:rPr>
        <w:t>为</w:t>
      </w:r>
      <w:r>
        <w:rPr>
          <w:rFonts w:hint="eastAsia"/>
          <w:color w:val="auto"/>
          <w:lang w:val="en-US" w:eastAsia="zh-CN"/>
        </w:rPr>
        <w:t>1.43</w:t>
      </w:r>
      <w:r>
        <w:rPr>
          <w:rFonts w:hint="eastAsia"/>
          <w:color w:val="auto"/>
        </w:rPr>
        <w:t>，</w:t>
      </w:r>
      <w:r>
        <w:rPr>
          <w:color w:val="auto"/>
        </w:rPr>
        <w:t xml:space="preserve">计算公式如下： </w:t>
      </w:r>
    </w:p>
    <w:p>
      <w:pPr>
        <w:spacing w:after="156"/>
        <w:ind w:firstLine="0" w:firstLineChars="0"/>
        <w:jc w:val="center"/>
        <w:rPr>
          <w:rFonts w:eastAsia="宋体"/>
          <w:color w:val="auto"/>
          <w:position w:val="-26"/>
          <w:szCs w:val="28"/>
          <w:highlight w:val="none"/>
        </w:rPr>
      </w:pPr>
      <w:r>
        <w:rPr>
          <w:rFonts w:eastAsia="宋体"/>
          <w:color w:val="auto"/>
          <w:position w:val="-26"/>
          <w:szCs w:val="28"/>
        </w:rPr>
        <w:object>
          <v:shape id="_x0000_i1028" o:spt="75" type="#_x0000_t75" style="height:28.35pt;width:259.85pt;" o:ole="t" filled="f" o:preferrelative="t" stroked="f" coordsize="21600,21600">
            <v:path/>
            <v:fill on="f" focussize="0,0"/>
            <v:stroke on="f"/>
            <v:imagedata r:id="rId44" o:title=""/>
            <o:lock v:ext="edit" aspectratio="t"/>
            <w10:wrap type="none"/>
            <w10:anchorlock/>
          </v:shape>
          <o:OLEObject Type="Embed" ProgID="Equation.3" ShapeID="_x0000_i1028" DrawAspect="Content" ObjectID="_1468075728" r:id="rId43">
            <o:LockedField>false</o:LockedField>
          </o:OLEObject>
        </w:object>
      </w:r>
    </w:p>
    <w:p>
      <w:pPr>
        <w:pStyle w:val="3"/>
        <w:rPr>
          <w:rFonts w:hint="default"/>
          <w:color w:val="auto"/>
        </w:rPr>
      </w:pPr>
      <w:bookmarkStart w:id="174" w:name="_Toc15387"/>
      <w:r>
        <w:rPr>
          <w:rFonts w:hint="default"/>
          <w:color w:val="auto"/>
        </w:rPr>
        <w:t>6.5林草植被恢复率</w:t>
      </w:r>
      <w:bookmarkEnd w:id="171"/>
      <w:bookmarkEnd w:id="172"/>
      <w:bookmarkEnd w:id="173"/>
      <w:bookmarkEnd w:id="174"/>
    </w:p>
    <w:p>
      <w:pPr>
        <w:ind w:firstLine="480"/>
        <w:rPr>
          <w:color w:val="auto"/>
        </w:rPr>
      </w:pPr>
      <w:bookmarkStart w:id="175" w:name="_Toc371174628"/>
      <w:bookmarkStart w:id="176" w:name="_Toc400530803"/>
      <w:bookmarkStart w:id="177" w:name="_Toc400529702"/>
      <w:r>
        <w:rPr>
          <w:rFonts w:hint="eastAsia"/>
          <w:color w:val="auto"/>
        </w:rPr>
        <w:t>本项目建设区扰动地表占地面积</w:t>
      </w:r>
      <w:r>
        <w:rPr>
          <w:rFonts w:hint="eastAsia"/>
          <w:color w:val="auto"/>
          <w:lang w:val="en-US" w:eastAsia="zh-CN"/>
        </w:rPr>
        <w:t>5.43</w:t>
      </w:r>
      <w:r>
        <w:rPr>
          <w:rFonts w:hint="eastAsia"/>
          <w:color w:val="auto"/>
        </w:rPr>
        <w:t>hm</w:t>
      </w:r>
      <w:r>
        <w:rPr>
          <w:rFonts w:hint="eastAsia"/>
          <w:color w:val="auto"/>
          <w:vertAlign w:val="superscript"/>
        </w:rPr>
        <w:t>2</w:t>
      </w:r>
      <w:r>
        <w:rPr>
          <w:rFonts w:hint="eastAsia"/>
          <w:color w:val="auto"/>
        </w:rPr>
        <w:t>，项目建设区内可恢复林草面积</w:t>
      </w:r>
      <w:r>
        <w:rPr>
          <w:rFonts w:hint="eastAsia"/>
          <w:color w:val="auto"/>
          <w:lang w:val="en-US" w:eastAsia="zh-CN"/>
        </w:rPr>
        <w:t>1.18</w:t>
      </w:r>
      <w:r>
        <w:rPr>
          <w:rFonts w:hint="eastAsia"/>
          <w:color w:val="auto"/>
        </w:rPr>
        <w:t>hm</w:t>
      </w:r>
      <w:r>
        <w:rPr>
          <w:rFonts w:hint="eastAsia"/>
          <w:color w:val="auto"/>
          <w:vertAlign w:val="superscript"/>
        </w:rPr>
        <w:t>2</w:t>
      </w:r>
      <w:r>
        <w:rPr>
          <w:rFonts w:hint="eastAsia"/>
          <w:color w:val="auto"/>
        </w:rPr>
        <w:t>，已实施的植物措施面积</w:t>
      </w:r>
      <w:r>
        <w:rPr>
          <w:rFonts w:hint="eastAsia"/>
          <w:color w:val="auto"/>
          <w:lang w:val="en-US" w:eastAsia="zh-CN"/>
        </w:rPr>
        <w:t>1.175</w:t>
      </w:r>
      <w:r>
        <w:rPr>
          <w:rFonts w:hint="eastAsia"/>
          <w:color w:val="auto"/>
        </w:rPr>
        <w:t>hm</w:t>
      </w:r>
      <w:r>
        <w:rPr>
          <w:rFonts w:hint="eastAsia"/>
          <w:color w:val="auto"/>
          <w:vertAlign w:val="superscript"/>
        </w:rPr>
        <w:t>2</w:t>
      </w:r>
      <w:r>
        <w:rPr>
          <w:rFonts w:hint="eastAsia"/>
          <w:color w:val="auto"/>
        </w:rPr>
        <w:t>。详见表5-1，经计算得林草植被恢复率99.</w:t>
      </w:r>
      <w:r>
        <w:rPr>
          <w:rFonts w:hint="eastAsia"/>
          <w:color w:val="auto"/>
          <w:lang w:val="en-US" w:eastAsia="zh-CN"/>
        </w:rPr>
        <w:t>58</w:t>
      </w:r>
      <w:r>
        <w:rPr>
          <w:rFonts w:hint="eastAsia"/>
          <w:color w:val="auto"/>
        </w:rPr>
        <w:t>%计算公式如下：</w:t>
      </w:r>
    </w:p>
    <w:p>
      <w:pPr>
        <w:spacing w:after="156"/>
        <w:ind w:firstLine="0" w:firstLineChars="0"/>
        <w:jc w:val="center"/>
        <w:rPr>
          <w:color w:val="auto"/>
          <w:highlight w:val="none"/>
          <w:lang w:eastAsia="zh-CN"/>
        </w:rPr>
      </w:pPr>
      <w:r>
        <w:rPr>
          <w:rFonts w:hint="eastAsia"/>
          <w:color w:val="auto"/>
          <w:position w:val="-26"/>
        </w:rPr>
        <w:object>
          <v:shape id="_x0000_i1029" o:spt="75" type="#_x0000_t75" style="height:28.35pt;width:356.35pt;" o:ole="t" filled="f" o:preferrelative="t" stroked="f" coordsize="21600,21600">
            <v:path/>
            <v:fill on="f" focussize="0,0"/>
            <v:stroke on="f"/>
            <v:imagedata r:id="rId46" o:title=""/>
            <o:lock v:ext="edit" aspectratio="t"/>
            <w10:wrap type="none"/>
            <w10:anchorlock/>
          </v:shape>
          <o:OLEObject Type="Embed" ProgID="Equation.3" ShapeID="_x0000_i1029" DrawAspect="Content" ObjectID="_1468075729" r:id="rId45">
            <o:LockedField>false</o:LockedField>
          </o:OLEObject>
        </w:object>
      </w:r>
    </w:p>
    <w:p>
      <w:pPr>
        <w:pStyle w:val="3"/>
        <w:rPr>
          <w:rFonts w:hint="default"/>
          <w:color w:val="auto"/>
        </w:rPr>
      </w:pPr>
      <w:bookmarkStart w:id="178" w:name="_Toc15810"/>
      <w:r>
        <w:rPr>
          <w:rFonts w:hint="default"/>
          <w:color w:val="auto"/>
        </w:rPr>
        <w:t>6.6林草覆盖率</w:t>
      </w:r>
      <w:bookmarkEnd w:id="175"/>
      <w:bookmarkEnd w:id="176"/>
      <w:bookmarkEnd w:id="177"/>
      <w:bookmarkEnd w:id="178"/>
    </w:p>
    <w:p>
      <w:pPr>
        <w:ind w:firstLine="480"/>
        <w:rPr>
          <w:color w:val="auto"/>
        </w:rPr>
      </w:pPr>
      <w:r>
        <w:rPr>
          <w:rFonts w:hint="eastAsia"/>
          <w:color w:val="auto"/>
        </w:rPr>
        <w:t>项目建设区内已实施的植物措施面积</w:t>
      </w:r>
      <w:r>
        <w:rPr>
          <w:rFonts w:hint="eastAsia"/>
          <w:color w:val="auto"/>
          <w:lang w:val="en-US" w:eastAsia="zh-CN"/>
        </w:rPr>
        <w:t>1.48</w:t>
      </w:r>
      <w:r>
        <w:rPr>
          <w:rFonts w:hint="eastAsia"/>
          <w:color w:val="auto"/>
        </w:rPr>
        <w:t>hm</w:t>
      </w:r>
      <w:r>
        <w:rPr>
          <w:rFonts w:hint="eastAsia"/>
          <w:color w:val="auto"/>
          <w:vertAlign w:val="superscript"/>
        </w:rPr>
        <w:t>2</w:t>
      </w:r>
      <w:r>
        <w:rPr>
          <w:rFonts w:hint="eastAsia"/>
          <w:color w:val="auto"/>
        </w:rPr>
        <w:t>，项目区目前实际植被覆盖面积为</w:t>
      </w:r>
      <w:r>
        <w:rPr>
          <w:rFonts w:hint="eastAsia"/>
          <w:color w:val="auto"/>
          <w:lang w:val="en-US" w:eastAsia="zh-CN"/>
        </w:rPr>
        <w:t>1.58</w:t>
      </w:r>
      <w:r>
        <w:rPr>
          <w:rFonts w:hint="eastAsia"/>
          <w:color w:val="auto"/>
        </w:rPr>
        <w:t>hm</w:t>
      </w:r>
      <w:r>
        <w:rPr>
          <w:rFonts w:hint="eastAsia"/>
          <w:color w:val="auto"/>
          <w:vertAlign w:val="superscript"/>
        </w:rPr>
        <w:t>2</w:t>
      </w:r>
      <w:r>
        <w:rPr>
          <w:rFonts w:hint="eastAsia"/>
          <w:color w:val="auto"/>
        </w:rPr>
        <w:t>，项目建设区占地面积为</w:t>
      </w:r>
      <w:r>
        <w:rPr>
          <w:rFonts w:hint="eastAsia"/>
          <w:color w:val="auto"/>
          <w:lang w:val="en-US" w:eastAsia="zh-CN"/>
        </w:rPr>
        <w:t>5.43</w:t>
      </w:r>
      <w:r>
        <w:rPr>
          <w:rFonts w:hint="eastAsia"/>
          <w:color w:val="auto"/>
        </w:rPr>
        <w:t>hm</w:t>
      </w:r>
      <w:r>
        <w:rPr>
          <w:rFonts w:hint="eastAsia"/>
          <w:color w:val="auto"/>
          <w:vertAlign w:val="superscript"/>
        </w:rPr>
        <w:t>2</w:t>
      </w:r>
      <w:r>
        <w:rPr>
          <w:rFonts w:hint="eastAsia"/>
          <w:color w:val="auto"/>
        </w:rPr>
        <w:t>。计算详见表5-1，计算得林草覆盖率为</w:t>
      </w:r>
      <w:r>
        <w:rPr>
          <w:rFonts w:hint="eastAsia"/>
          <w:color w:val="auto"/>
          <w:lang w:val="en-US" w:eastAsia="zh-CN"/>
        </w:rPr>
        <w:t>29.10</w:t>
      </w:r>
      <w:r>
        <w:rPr>
          <w:rFonts w:hint="eastAsia"/>
          <w:color w:val="auto"/>
        </w:rPr>
        <w:t>%，计算公式如下：</w:t>
      </w:r>
    </w:p>
    <w:p>
      <w:pPr>
        <w:rPr>
          <w:rFonts w:hint="eastAsia"/>
          <w:color w:val="auto"/>
          <w:position w:val="-26"/>
          <w:highlight w:val="none"/>
          <w:lang w:eastAsia="zh-CN"/>
        </w:rPr>
      </w:pPr>
      <w:r>
        <w:rPr>
          <w:rFonts w:hint="eastAsia"/>
          <w:color w:val="auto"/>
          <w:position w:val="-26"/>
        </w:rPr>
        <w:object>
          <v:shape id="_x0000_i1030" o:spt="75" type="#_x0000_t75" style="height:31.4pt;width:387.6pt;" o:ole="t" filled="f" o:preferrelative="t" stroked="f" coordsize="21600,21600">
            <v:path/>
            <v:fill on="f" focussize="0,0"/>
            <v:stroke on="f"/>
            <v:imagedata r:id="rId48" o:title=""/>
            <o:lock v:ext="edit" aspectratio="t"/>
            <w10:wrap type="none"/>
            <w10:anchorlock/>
          </v:shape>
          <o:OLEObject Type="Embed" ProgID="Equation.3" ShapeID="_x0000_i1030" DrawAspect="Content" ObjectID="_1468075730" r:id="rId47">
            <o:LockedField>false</o:LockedField>
          </o:OLEObject>
        </w:object>
      </w:r>
    </w:p>
    <w:p>
      <w:pPr>
        <w:pStyle w:val="3"/>
        <w:bidi w:val="0"/>
        <w:rPr>
          <w:rFonts w:hint="eastAsia"/>
          <w:color w:val="auto"/>
          <w:lang w:val="en-US" w:eastAsia="zh-CN"/>
        </w:rPr>
        <w:sectPr>
          <w:headerReference r:id="rId14" w:type="default"/>
          <w:pgSz w:w="11906" w:h="16838"/>
          <w:pgMar w:top="1440" w:right="1418" w:bottom="1440" w:left="1701" w:header="851" w:footer="992" w:gutter="0"/>
          <w:pgBorders>
            <w:top w:val="none" w:sz="0" w:space="0"/>
            <w:left w:val="none" w:sz="0" w:space="0"/>
            <w:bottom w:val="none" w:sz="0" w:space="0"/>
            <w:right w:val="none" w:sz="0" w:space="0"/>
          </w:pgBorders>
          <w:pgNumType w:fmt="decimal"/>
          <w:cols w:space="720" w:num="1"/>
          <w:docGrid w:linePitch="326" w:charSpace="0"/>
        </w:sectPr>
      </w:pPr>
    </w:p>
    <w:p>
      <w:pPr>
        <w:pStyle w:val="3"/>
        <w:bidi w:val="0"/>
        <w:rPr>
          <w:color w:val="auto"/>
        </w:rPr>
      </w:pPr>
      <w:bookmarkStart w:id="179" w:name="_Toc29004"/>
      <w:r>
        <w:rPr>
          <w:rFonts w:hint="eastAsia"/>
          <w:color w:val="auto"/>
          <w:lang w:val="en-US" w:eastAsia="zh-CN"/>
        </w:rPr>
        <w:t>6.7</w:t>
      </w:r>
      <w:r>
        <w:rPr>
          <w:color w:val="auto"/>
        </w:rPr>
        <w:t>水土保持效果达标情况</w:t>
      </w:r>
      <w:bookmarkEnd w:id="179"/>
    </w:p>
    <w:p>
      <w:pPr>
        <w:ind w:firstLine="480"/>
        <w:contextualSpacing/>
        <w:rPr>
          <w:color w:val="auto"/>
        </w:rPr>
      </w:pPr>
      <w:r>
        <w:rPr>
          <w:rFonts w:ascii="Times New Roman" w:hAnsi="Times New Roman" w:eastAsia="仿宋_GB2312"/>
          <w:color w:val="auto"/>
        </w:rPr>
        <w:t>水土保持六项指标达标情况见表</w:t>
      </w:r>
      <w:r>
        <w:rPr>
          <w:rFonts w:hint="eastAsia"/>
          <w:color w:val="auto"/>
          <w:lang w:val="en-US" w:eastAsia="zh-CN"/>
        </w:rPr>
        <w:t>6</w:t>
      </w:r>
      <w:r>
        <w:rPr>
          <w:rFonts w:hint="eastAsia" w:ascii="Times New Roman" w:hAnsi="Times New Roman" w:eastAsia="仿宋_GB2312"/>
          <w:color w:val="auto"/>
          <w:lang w:val="en-US" w:eastAsia="zh-CN"/>
        </w:rPr>
        <w:t>-</w:t>
      </w:r>
      <w:r>
        <w:rPr>
          <w:rFonts w:hint="eastAsia"/>
          <w:color w:val="auto"/>
          <w:lang w:val="en-US" w:eastAsia="zh-CN"/>
        </w:rPr>
        <w:t>2</w:t>
      </w:r>
      <w:r>
        <w:rPr>
          <w:rFonts w:ascii="Times New Roman" w:hAnsi="Times New Roman" w:eastAsia="仿宋_GB2312"/>
          <w:color w:val="auto"/>
        </w:rPr>
        <w:t>。</w:t>
      </w:r>
    </w:p>
    <w:p>
      <w:pPr>
        <w:pStyle w:val="17"/>
        <w:bidi w:val="0"/>
        <w:rPr>
          <w:color w:val="auto"/>
        </w:rPr>
      </w:pPr>
    </w:p>
    <w:p>
      <w:pPr>
        <w:pStyle w:val="17"/>
        <w:bidi w:val="0"/>
        <w:rPr>
          <w:rFonts w:hint="eastAsia"/>
          <w:b w:val="0"/>
          <w:bCs w:val="0"/>
          <w:color w:val="auto"/>
          <w:sz w:val="24"/>
          <w:szCs w:val="24"/>
          <w:lang w:eastAsia="zh-CN"/>
        </w:rPr>
      </w:pPr>
      <w:r>
        <w:rPr>
          <w:b w:val="0"/>
          <w:bCs w:val="0"/>
          <w:color w:val="auto"/>
          <w:sz w:val="24"/>
          <w:szCs w:val="24"/>
        </w:rPr>
        <w:t>表</w:t>
      </w:r>
      <w:r>
        <w:rPr>
          <w:rFonts w:hint="eastAsia"/>
          <w:b w:val="0"/>
          <w:bCs w:val="0"/>
          <w:color w:val="auto"/>
          <w:sz w:val="24"/>
          <w:szCs w:val="24"/>
          <w:lang w:val="en-US" w:eastAsia="zh-CN"/>
        </w:rPr>
        <w:t>6-2</w:t>
      </w:r>
      <w:r>
        <w:rPr>
          <w:b w:val="0"/>
          <w:bCs w:val="0"/>
          <w:color w:val="auto"/>
          <w:sz w:val="24"/>
          <w:szCs w:val="24"/>
        </w:rPr>
        <w:t xml:space="preserve">  本</w:t>
      </w:r>
      <w:r>
        <w:rPr>
          <w:rFonts w:hint="eastAsia"/>
          <w:b w:val="0"/>
          <w:bCs w:val="0"/>
          <w:color w:val="auto"/>
          <w:sz w:val="24"/>
          <w:szCs w:val="24"/>
          <w:lang w:eastAsia="zh-CN"/>
        </w:rPr>
        <w:t>项目</w:t>
      </w:r>
      <w:r>
        <w:rPr>
          <w:b w:val="0"/>
          <w:bCs w:val="0"/>
          <w:color w:val="auto"/>
          <w:sz w:val="24"/>
          <w:szCs w:val="24"/>
        </w:rPr>
        <w:t>防治达标情况表</w:t>
      </w:r>
    </w:p>
    <w:tbl>
      <w:tblPr>
        <w:tblStyle w:val="11"/>
        <w:tblW w:w="8336" w:type="dxa"/>
        <w:tblInd w:w="0" w:type="dxa"/>
        <w:tblLayout w:type="fixed"/>
        <w:tblCellMar>
          <w:top w:w="0" w:type="dxa"/>
          <w:left w:w="0" w:type="dxa"/>
          <w:bottom w:w="0" w:type="dxa"/>
          <w:right w:w="0" w:type="dxa"/>
        </w:tblCellMar>
      </w:tblPr>
      <w:tblGrid>
        <w:gridCol w:w="2050"/>
        <w:gridCol w:w="1029"/>
        <w:gridCol w:w="1752"/>
        <w:gridCol w:w="1752"/>
        <w:gridCol w:w="1753"/>
      </w:tblGrid>
      <w:tr>
        <w:tblPrEx>
          <w:tblCellMar>
            <w:top w:w="0" w:type="dxa"/>
            <w:left w:w="0" w:type="dxa"/>
            <w:bottom w:w="0" w:type="dxa"/>
            <w:right w:w="0" w:type="dxa"/>
          </w:tblCellMar>
        </w:tblPrEx>
        <w:trPr>
          <w:trHeight w:val="510" w:hRule="atLeast"/>
        </w:trPr>
        <w:tc>
          <w:tcPr>
            <w:tcW w:w="2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color w:val="auto"/>
              </w:rPr>
            </w:pPr>
            <w:r>
              <w:rPr>
                <w:rFonts w:hint="eastAsia"/>
                <w:color w:val="auto"/>
                <w:lang w:val="en-US" w:eastAsia="zh-CN"/>
              </w:rPr>
              <w:t>项目</w:t>
            </w:r>
          </w:p>
        </w:tc>
        <w:tc>
          <w:tcPr>
            <w:tcW w:w="10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rFonts w:hint="eastAsia"/>
                <w:color w:val="auto"/>
              </w:rPr>
            </w:pPr>
            <w:r>
              <w:rPr>
                <w:rFonts w:hint="eastAsia"/>
                <w:color w:val="auto"/>
                <w:lang w:val="en-US" w:eastAsia="zh-CN"/>
              </w:rPr>
              <w:t>单位</w:t>
            </w:r>
          </w:p>
        </w:tc>
        <w:tc>
          <w:tcPr>
            <w:tcW w:w="1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rFonts w:hint="eastAsia"/>
                <w:color w:val="auto"/>
              </w:rPr>
            </w:pPr>
            <w:r>
              <w:rPr>
                <w:rFonts w:hint="eastAsia"/>
                <w:color w:val="auto"/>
                <w:lang w:val="en-US" w:eastAsia="zh-CN"/>
              </w:rPr>
              <w:t>方案目标值</w:t>
            </w:r>
          </w:p>
        </w:tc>
        <w:tc>
          <w:tcPr>
            <w:tcW w:w="1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rFonts w:hint="eastAsia"/>
                <w:color w:val="auto"/>
              </w:rPr>
            </w:pPr>
            <w:r>
              <w:rPr>
                <w:rFonts w:hint="eastAsia"/>
                <w:color w:val="auto"/>
                <w:lang w:val="en-US" w:eastAsia="zh-CN"/>
              </w:rPr>
              <w:t>实际达到值</w:t>
            </w:r>
          </w:p>
        </w:tc>
        <w:tc>
          <w:tcPr>
            <w:tcW w:w="1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rFonts w:hint="eastAsia"/>
                <w:color w:val="auto"/>
              </w:rPr>
            </w:pPr>
            <w:r>
              <w:rPr>
                <w:rFonts w:hint="eastAsia"/>
                <w:color w:val="auto"/>
                <w:lang w:val="en-US" w:eastAsia="zh-CN"/>
              </w:rPr>
              <w:t>达标情况</w:t>
            </w:r>
          </w:p>
        </w:tc>
      </w:tr>
      <w:tr>
        <w:tblPrEx>
          <w:tblCellMar>
            <w:top w:w="0" w:type="dxa"/>
            <w:left w:w="0" w:type="dxa"/>
            <w:bottom w:w="0" w:type="dxa"/>
            <w:right w:w="0" w:type="dxa"/>
          </w:tblCellMar>
        </w:tblPrEx>
        <w:trPr>
          <w:trHeight w:val="510" w:hRule="atLeast"/>
        </w:trPr>
        <w:tc>
          <w:tcPr>
            <w:tcW w:w="2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rFonts w:hint="eastAsia"/>
                <w:color w:val="auto"/>
              </w:rPr>
            </w:pPr>
            <w:r>
              <w:rPr>
                <w:rFonts w:hint="eastAsia"/>
                <w:color w:val="auto"/>
                <w:lang w:val="en-US" w:eastAsia="zh-CN"/>
              </w:rPr>
              <w:t>扰动土地治理率</w:t>
            </w:r>
          </w:p>
        </w:tc>
        <w:tc>
          <w:tcPr>
            <w:tcW w:w="10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default"/>
                <w:color w:val="auto"/>
              </w:rPr>
            </w:pPr>
            <w:r>
              <w:rPr>
                <w:rFonts w:hint="default"/>
                <w:color w:val="auto"/>
              </w:rPr>
              <w:t>%</w:t>
            </w:r>
          </w:p>
        </w:tc>
        <w:tc>
          <w:tcPr>
            <w:tcW w:w="1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default"/>
                <w:color w:val="auto"/>
              </w:rPr>
            </w:pPr>
            <w:r>
              <w:rPr>
                <w:color w:val="auto"/>
              </w:rPr>
              <w:t>95</w:t>
            </w:r>
          </w:p>
        </w:tc>
        <w:tc>
          <w:tcPr>
            <w:tcW w:w="1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default"/>
                <w:color w:val="auto"/>
              </w:rPr>
            </w:pPr>
            <w:r>
              <w:rPr>
                <w:rFonts w:hint="eastAsia"/>
                <w:color w:val="auto"/>
                <w:lang w:eastAsia="zh-CN"/>
              </w:rPr>
              <w:t>99.82</w:t>
            </w:r>
          </w:p>
        </w:tc>
        <w:tc>
          <w:tcPr>
            <w:tcW w:w="1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eastAsia"/>
                <w:color w:val="auto"/>
              </w:rPr>
            </w:pPr>
            <w:r>
              <w:rPr>
                <w:color w:val="auto"/>
              </w:rPr>
              <w:t>达标</w:t>
            </w:r>
          </w:p>
        </w:tc>
      </w:tr>
      <w:tr>
        <w:tblPrEx>
          <w:tblCellMar>
            <w:top w:w="0" w:type="dxa"/>
            <w:left w:w="0" w:type="dxa"/>
            <w:bottom w:w="0" w:type="dxa"/>
            <w:right w:w="0" w:type="dxa"/>
          </w:tblCellMar>
        </w:tblPrEx>
        <w:trPr>
          <w:trHeight w:val="531" w:hRule="atLeast"/>
        </w:trPr>
        <w:tc>
          <w:tcPr>
            <w:tcW w:w="2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rFonts w:hint="eastAsia"/>
                <w:color w:val="auto"/>
              </w:rPr>
            </w:pPr>
            <w:r>
              <w:rPr>
                <w:rFonts w:hint="eastAsia"/>
                <w:color w:val="auto"/>
                <w:lang w:val="en-US" w:eastAsia="zh-CN"/>
              </w:rPr>
              <w:t>水土流失治理度</w:t>
            </w:r>
          </w:p>
        </w:tc>
        <w:tc>
          <w:tcPr>
            <w:tcW w:w="10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default"/>
                <w:color w:val="auto"/>
              </w:rPr>
            </w:pPr>
            <w:r>
              <w:rPr>
                <w:rFonts w:hint="default"/>
                <w:color w:val="auto"/>
              </w:rPr>
              <w:t>%</w:t>
            </w:r>
          </w:p>
        </w:tc>
        <w:tc>
          <w:tcPr>
            <w:tcW w:w="1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default"/>
                <w:color w:val="auto"/>
              </w:rPr>
            </w:pPr>
            <w:r>
              <w:rPr>
                <w:color w:val="auto"/>
              </w:rPr>
              <w:t>97</w:t>
            </w:r>
          </w:p>
        </w:tc>
        <w:tc>
          <w:tcPr>
            <w:tcW w:w="1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default"/>
                <w:color w:val="auto"/>
              </w:rPr>
            </w:pPr>
            <w:r>
              <w:rPr>
                <w:rFonts w:hint="eastAsia"/>
                <w:color w:val="auto"/>
                <w:lang w:eastAsia="zh-CN"/>
              </w:rPr>
              <w:t>99.50</w:t>
            </w:r>
          </w:p>
        </w:tc>
        <w:tc>
          <w:tcPr>
            <w:tcW w:w="1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eastAsia"/>
                <w:color w:val="auto"/>
              </w:rPr>
            </w:pPr>
            <w:r>
              <w:rPr>
                <w:color w:val="auto"/>
              </w:rPr>
              <w:t>达标</w:t>
            </w:r>
          </w:p>
        </w:tc>
      </w:tr>
      <w:tr>
        <w:tblPrEx>
          <w:tblCellMar>
            <w:top w:w="0" w:type="dxa"/>
            <w:left w:w="0" w:type="dxa"/>
            <w:bottom w:w="0" w:type="dxa"/>
            <w:right w:w="0" w:type="dxa"/>
          </w:tblCellMar>
        </w:tblPrEx>
        <w:trPr>
          <w:trHeight w:val="510" w:hRule="atLeast"/>
        </w:trPr>
        <w:tc>
          <w:tcPr>
            <w:tcW w:w="2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rFonts w:hint="eastAsia"/>
                <w:color w:val="auto"/>
              </w:rPr>
            </w:pPr>
            <w:r>
              <w:rPr>
                <w:rFonts w:hint="eastAsia"/>
                <w:color w:val="auto"/>
                <w:lang w:val="en-US" w:eastAsia="zh-CN"/>
              </w:rPr>
              <w:t>土壤流失控制比</w:t>
            </w:r>
          </w:p>
        </w:tc>
        <w:tc>
          <w:tcPr>
            <w:tcW w:w="10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default"/>
                <w:color w:val="auto"/>
              </w:rPr>
            </w:pPr>
          </w:p>
        </w:tc>
        <w:tc>
          <w:tcPr>
            <w:tcW w:w="1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default"/>
                <w:color w:val="auto"/>
              </w:rPr>
            </w:pPr>
            <w:r>
              <w:rPr>
                <w:color w:val="auto"/>
              </w:rPr>
              <w:t>＞1.0</w:t>
            </w:r>
          </w:p>
        </w:tc>
        <w:tc>
          <w:tcPr>
            <w:tcW w:w="1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default"/>
                <w:color w:val="auto"/>
                <w:lang w:val="en-US"/>
              </w:rPr>
            </w:pPr>
            <w:r>
              <w:rPr>
                <w:rFonts w:hint="eastAsia"/>
                <w:color w:val="auto"/>
                <w:lang w:eastAsia="zh-CN"/>
              </w:rPr>
              <w:t>1.43</w:t>
            </w:r>
          </w:p>
        </w:tc>
        <w:tc>
          <w:tcPr>
            <w:tcW w:w="1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eastAsia"/>
                <w:color w:val="auto"/>
              </w:rPr>
            </w:pPr>
            <w:r>
              <w:rPr>
                <w:color w:val="auto"/>
              </w:rPr>
              <w:t>达标</w:t>
            </w:r>
          </w:p>
        </w:tc>
      </w:tr>
      <w:tr>
        <w:tblPrEx>
          <w:tblCellMar>
            <w:top w:w="0" w:type="dxa"/>
            <w:left w:w="0" w:type="dxa"/>
            <w:bottom w:w="0" w:type="dxa"/>
            <w:right w:w="0" w:type="dxa"/>
          </w:tblCellMar>
        </w:tblPrEx>
        <w:trPr>
          <w:trHeight w:val="285" w:hRule="atLeast"/>
        </w:trPr>
        <w:tc>
          <w:tcPr>
            <w:tcW w:w="2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rFonts w:hint="eastAsia"/>
                <w:color w:val="auto"/>
              </w:rPr>
            </w:pPr>
            <w:r>
              <w:rPr>
                <w:rFonts w:hint="eastAsia"/>
                <w:color w:val="auto"/>
                <w:lang w:val="en-US" w:eastAsia="zh-CN"/>
              </w:rPr>
              <w:t>拦渣率</w:t>
            </w:r>
          </w:p>
        </w:tc>
        <w:tc>
          <w:tcPr>
            <w:tcW w:w="10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default"/>
                <w:color w:val="auto"/>
              </w:rPr>
            </w:pPr>
            <w:r>
              <w:rPr>
                <w:rFonts w:hint="default"/>
                <w:color w:val="auto"/>
              </w:rPr>
              <w:t>%</w:t>
            </w:r>
          </w:p>
        </w:tc>
        <w:tc>
          <w:tcPr>
            <w:tcW w:w="1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default"/>
                <w:color w:val="auto"/>
              </w:rPr>
            </w:pPr>
            <w:r>
              <w:rPr>
                <w:color w:val="auto"/>
              </w:rPr>
              <w:t>95</w:t>
            </w:r>
          </w:p>
        </w:tc>
        <w:tc>
          <w:tcPr>
            <w:tcW w:w="1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default"/>
                <w:color w:val="auto"/>
                <w:lang w:val="en-US"/>
              </w:rPr>
            </w:pPr>
            <w:r>
              <w:rPr>
                <w:color w:val="auto"/>
              </w:rPr>
              <w:t>99</w:t>
            </w:r>
          </w:p>
        </w:tc>
        <w:tc>
          <w:tcPr>
            <w:tcW w:w="1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eastAsia"/>
                <w:color w:val="auto"/>
              </w:rPr>
            </w:pPr>
            <w:r>
              <w:rPr>
                <w:color w:val="auto"/>
              </w:rPr>
              <w:t>达标</w:t>
            </w:r>
          </w:p>
        </w:tc>
      </w:tr>
      <w:tr>
        <w:tblPrEx>
          <w:tblCellMar>
            <w:top w:w="0" w:type="dxa"/>
            <w:left w:w="0" w:type="dxa"/>
            <w:bottom w:w="0" w:type="dxa"/>
            <w:right w:w="0" w:type="dxa"/>
          </w:tblCellMar>
        </w:tblPrEx>
        <w:trPr>
          <w:trHeight w:val="510" w:hRule="atLeast"/>
        </w:trPr>
        <w:tc>
          <w:tcPr>
            <w:tcW w:w="2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rFonts w:hint="eastAsia"/>
                <w:color w:val="auto"/>
              </w:rPr>
            </w:pPr>
            <w:r>
              <w:rPr>
                <w:rFonts w:hint="eastAsia"/>
                <w:color w:val="auto"/>
                <w:lang w:val="en-US" w:eastAsia="zh-CN"/>
              </w:rPr>
              <w:t>林草恢复率</w:t>
            </w:r>
          </w:p>
        </w:tc>
        <w:tc>
          <w:tcPr>
            <w:tcW w:w="10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default"/>
                <w:color w:val="auto"/>
              </w:rPr>
            </w:pPr>
            <w:r>
              <w:rPr>
                <w:rFonts w:hint="default"/>
                <w:color w:val="auto"/>
              </w:rPr>
              <w:t>%</w:t>
            </w:r>
          </w:p>
        </w:tc>
        <w:tc>
          <w:tcPr>
            <w:tcW w:w="1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default"/>
                <w:color w:val="auto"/>
              </w:rPr>
            </w:pPr>
            <w:r>
              <w:rPr>
                <w:color w:val="auto"/>
              </w:rPr>
              <w:t>99</w:t>
            </w:r>
          </w:p>
        </w:tc>
        <w:tc>
          <w:tcPr>
            <w:tcW w:w="1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default"/>
                <w:color w:val="auto"/>
              </w:rPr>
            </w:pPr>
            <w:r>
              <w:rPr>
                <w:rFonts w:hint="eastAsia"/>
                <w:color w:val="auto"/>
                <w:lang w:eastAsia="zh-CN"/>
              </w:rPr>
              <w:t>99.58</w:t>
            </w:r>
          </w:p>
        </w:tc>
        <w:tc>
          <w:tcPr>
            <w:tcW w:w="1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eastAsia"/>
                <w:color w:val="auto"/>
              </w:rPr>
            </w:pPr>
            <w:r>
              <w:rPr>
                <w:color w:val="auto"/>
              </w:rPr>
              <w:t>达标</w:t>
            </w:r>
          </w:p>
        </w:tc>
      </w:tr>
      <w:tr>
        <w:tblPrEx>
          <w:tblCellMar>
            <w:top w:w="0" w:type="dxa"/>
            <w:left w:w="0" w:type="dxa"/>
            <w:bottom w:w="0" w:type="dxa"/>
            <w:right w:w="0" w:type="dxa"/>
          </w:tblCellMar>
        </w:tblPrEx>
        <w:trPr>
          <w:trHeight w:val="510" w:hRule="atLeast"/>
        </w:trPr>
        <w:tc>
          <w:tcPr>
            <w:tcW w:w="2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rFonts w:hint="eastAsia"/>
                <w:color w:val="auto"/>
              </w:rPr>
            </w:pPr>
            <w:r>
              <w:rPr>
                <w:rFonts w:hint="eastAsia"/>
                <w:color w:val="auto"/>
                <w:lang w:val="en-US" w:eastAsia="zh-CN"/>
              </w:rPr>
              <w:t>林草覆盖率</w:t>
            </w:r>
          </w:p>
        </w:tc>
        <w:tc>
          <w:tcPr>
            <w:tcW w:w="10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default"/>
                <w:color w:val="auto"/>
              </w:rPr>
            </w:pPr>
            <w:r>
              <w:rPr>
                <w:rFonts w:hint="default"/>
                <w:color w:val="auto"/>
              </w:rPr>
              <w:t>%</w:t>
            </w:r>
          </w:p>
        </w:tc>
        <w:tc>
          <w:tcPr>
            <w:tcW w:w="1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default"/>
                <w:color w:val="auto"/>
              </w:rPr>
            </w:pPr>
            <w:r>
              <w:rPr>
                <w:color w:val="auto"/>
              </w:rPr>
              <w:t>27</w:t>
            </w:r>
          </w:p>
        </w:tc>
        <w:tc>
          <w:tcPr>
            <w:tcW w:w="1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default"/>
                <w:color w:val="auto"/>
              </w:rPr>
            </w:pPr>
            <w:r>
              <w:rPr>
                <w:rFonts w:hint="eastAsia"/>
                <w:color w:val="auto"/>
                <w:lang w:eastAsia="zh-CN"/>
              </w:rPr>
              <w:t>29.10</w:t>
            </w:r>
          </w:p>
        </w:tc>
        <w:tc>
          <w:tcPr>
            <w:tcW w:w="1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eastAsia"/>
                <w:color w:val="auto"/>
              </w:rPr>
            </w:pPr>
            <w:r>
              <w:rPr>
                <w:color w:val="auto"/>
              </w:rPr>
              <w:t>达标</w:t>
            </w:r>
          </w:p>
        </w:tc>
      </w:tr>
    </w:tbl>
    <w:p>
      <w:pPr>
        <w:bidi w:val="0"/>
        <w:rPr>
          <w:rFonts w:hint="eastAsia"/>
          <w:color w:val="auto"/>
          <w:lang w:eastAsia="zh-CN"/>
        </w:rPr>
      </w:pPr>
    </w:p>
    <w:p>
      <w:pPr>
        <w:rPr>
          <w:rFonts w:hint="default"/>
          <w:color w:val="auto"/>
          <w:position w:val="-26"/>
          <w:highlight w:val="none"/>
          <w:lang w:eastAsia="zh-CN"/>
        </w:rPr>
      </w:pPr>
      <w:r>
        <w:rPr>
          <w:rFonts w:hint="eastAsia"/>
          <w:color w:val="auto"/>
        </w:rPr>
        <w:t>综上所述，项目建设区大部分可绿化区域已覆土绿化，本项目建设区水土保持措施总体布局合理，已实施治理区域效果较为明显，充分发挥了防治水土流失的效果。调查结果表明，截止至2020年10月，六项指标全部达到并超过《开发建设项目水土流失防治标准》（GB50434-2008）中建设生产类一级标准及《G320线普安江西坡至三板桥段改扩建工程（县城段）水土保持方案报告书》（报批稿）的防治目标，建设单位在后期</w:t>
      </w:r>
      <w:r>
        <w:rPr>
          <w:rFonts w:hint="eastAsia"/>
          <w:color w:val="auto"/>
          <w:lang w:eastAsia="zh-CN"/>
        </w:rPr>
        <w:t>加强对已实施的水土保持措施的养护，确保水土保持措施的水土流失防治效果</w:t>
      </w:r>
      <w:r>
        <w:rPr>
          <w:rFonts w:hint="eastAsia"/>
          <w:color w:val="auto"/>
        </w:rPr>
        <w:t>。</w:t>
      </w:r>
    </w:p>
    <w:p>
      <w:pPr>
        <w:snapToGrid w:val="0"/>
        <w:spacing w:line="360" w:lineRule="auto"/>
        <w:ind w:left="0" w:leftChars="0" w:firstLine="0" w:firstLineChars="0"/>
        <w:rPr>
          <w:rFonts w:hint="default" w:ascii="Times New Roman" w:hAnsi="Times New Roman" w:eastAsia="仿宋_GB2312" w:cs="Times New Roman"/>
          <w:color w:val="auto"/>
          <w:spacing w:val="0"/>
          <w:position w:val="-28"/>
          <w:sz w:val="24"/>
        </w:rPr>
        <w:sectPr>
          <w:pgSz w:w="11906" w:h="16838"/>
          <w:pgMar w:top="1440" w:right="1418" w:bottom="1440" w:left="1701" w:header="851" w:footer="992" w:gutter="0"/>
          <w:pgBorders>
            <w:top w:val="none" w:sz="0" w:space="0"/>
            <w:left w:val="none" w:sz="0" w:space="0"/>
            <w:bottom w:val="none" w:sz="0" w:space="0"/>
            <w:right w:val="none" w:sz="0" w:space="0"/>
          </w:pgBorders>
          <w:pgNumType w:fmt="decimal"/>
          <w:cols w:space="720" w:num="1"/>
          <w:docGrid w:linePitch="326" w:charSpace="0"/>
        </w:sectPr>
      </w:pPr>
    </w:p>
    <w:p>
      <w:pPr>
        <w:pStyle w:val="2"/>
        <w:rPr>
          <w:rFonts w:hint="default"/>
          <w:color w:val="auto"/>
        </w:rPr>
      </w:pPr>
      <w:bookmarkStart w:id="180" w:name="_Toc400530804"/>
      <w:bookmarkStart w:id="181" w:name="_Toc400529703"/>
      <w:bookmarkStart w:id="182" w:name="_Toc4193"/>
      <w:bookmarkStart w:id="183" w:name="_Toc371174629"/>
      <w:r>
        <w:rPr>
          <w:rFonts w:hint="default"/>
          <w:color w:val="auto"/>
        </w:rPr>
        <w:t>7 结论</w:t>
      </w:r>
      <w:bookmarkEnd w:id="180"/>
      <w:bookmarkEnd w:id="181"/>
      <w:bookmarkEnd w:id="182"/>
      <w:bookmarkEnd w:id="183"/>
    </w:p>
    <w:p>
      <w:pPr>
        <w:pStyle w:val="3"/>
        <w:rPr>
          <w:rFonts w:hint="default"/>
          <w:color w:val="auto"/>
        </w:rPr>
      </w:pPr>
      <w:bookmarkStart w:id="184" w:name="_Toc400530805"/>
      <w:bookmarkStart w:id="185" w:name="_Toc371174630"/>
      <w:bookmarkStart w:id="186" w:name="_Toc400529704"/>
      <w:bookmarkStart w:id="187" w:name="_Toc7288"/>
      <w:r>
        <w:rPr>
          <w:rFonts w:hint="default"/>
          <w:color w:val="auto"/>
        </w:rPr>
        <w:t>7.1水土流失动态变化</w:t>
      </w:r>
      <w:bookmarkEnd w:id="184"/>
      <w:bookmarkEnd w:id="185"/>
      <w:bookmarkEnd w:id="186"/>
      <w:bookmarkEnd w:id="187"/>
    </w:p>
    <w:p>
      <w:pPr>
        <w:ind w:firstLine="480"/>
        <w:rPr>
          <w:rFonts w:hint="eastAsia"/>
          <w:color w:val="auto"/>
        </w:rPr>
      </w:pPr>
      <w:r>
        <w:rPr>
          <w:color w:val="auto"/>
        </w:rPr>
        <w:t>项目建设前：根据《方案（报批稿）》，工程建设前项目建设区土壤侵蚀模数为</w:t>
      </w:r>
      <w:r>
        <w:rPr>
          <w:rFonts w:hint="eastAsia"/>
          <w:color w:val="auto"/>
          <w:lang w:val="en-US" w:eastAsia="zh-CN"/>
        </w:rPr>
        <w:t>844</w:t>
      </w:r>
      <w:r>
        <w:rPr>
          <w:color w:val="auto"/>
        </w:rPr>
        <w:t>t/k</w:t>
      </w:r>
      <w:r>
        <w:rPr>
          <w:rFonts w:hint="eastAsia"/>
          <w:color w:val="auto"/>
        </w:rPr>
        <w:t>m</w:t>
      </w:r>
      <w:r>
        <w:rPr>
          <w:rFonts w:hint="eastAsia"/>
          <w:color w:val="auto"/>
          <w:vertAlign w:val="superscript"/>
        </w:rPr>
        <w:t>2</w:t>
      </w:r>
      <w:r>
        <w:rPr>
          <w:color w:val="auto"/>
        </w:rPr>
        <w:t>•a，年土壤流失量约为</w:t>
      </w:r>
      <w:r>
        <w:rPr>
          <w:rFonts w:hint="eastAsia"/>
          <w:color w:val="auto"/>
          <w:lang w:val="en-US" w:eastAsia="zh-CN"/>
        </w:rPr>
        <w:t>76.87</w:t>
      </w:r>
      <w:r>
        <w:rPr>
          <w:color w:val="auto"/>
        </w:rPr>
        <w:t>t/a</w:t>
      </w:r>
      <w:r>
        <w:rPr>
          <w:rFonts w:hint="eastAsia"/>
          <w:color w:val="auto"/>
        </w:rPr>
        <w:t>。</w:t>
      </w:r>
    </w:p>
    <w:p>
      <w:pPr>
        <w:ind w:firstLine="480"/>
        <w:rPr>
          <w:rFonts w:cs="Times New Roman"/>
          <w:color w:val="auto"/>
        </w:rPr>
      </w:pPr>
      <w:r>
        <w:rPr>
          <w:rFonts w:cs="Times New Roman"/>
          <w:color w:val="auto"/>
        </w:rPr>
        <w:t>项目建设中：监测结果显示，截止20</w:t>
      </w:r>
      <w:r>
        <w:rPr>
          <w:rFonts w:hint="eastAsia" w:cs="Times New Roman"/>
          <w:color w:val="auto"/>
          <w:lang w:val="en-US" w:eastAsia="zh-CN"/>
        </w:rPr>
        <w:t>16</w:t>
      </w:r>
      <w:r>
        <w:rPr>
          <w:rFonts w:cs="Times New Roman"/>
          <w:color w:val="auto"/>
        </w:rPr>
        <w:t>年</w:t>
      </w:r>
      <w:r>
        <w:rPr>
          <w:rFonts w:hint="eastAsia" w:cs="Times New Roman"/>
          <w:color w:val="auto"/>
          <w:lang w:val="en-US" w:eastAsia="zh-CN"/>
        </w:rPr>
        <w:t>10</w:t>
      </w:r>
      <w:r>
        <w:rPr>
          <w:rFonts w:cs="Times New Roman"/>
          <w:color w:val="auto"/>
        </w:rPr>
        <w:t>月项目施工建设期间，项目建设区实际征占地面积为</w:t>
      </w:r>
      <w:r>
        <w:rPr>
          <w:rFonts w:hint="eastAsia" w:cs="Times New Roman"/>
          <w:color w:val="auto"/>
          <w:lang w:val="en-US" w:eastAsia="zh-CN"/>
        </w:rPr>
        <w:t>5.43</w:t>
      </w:r>
      <w:r>
        <w:rPr>
          <w:rFonts w:cs="Times New Roman"/>
          <w:color w:val="auto"/>
        </w:rPr>
        <w:t>h</w:t>
      </w:r>
      <w:r>
        <w:rPr>
          <w:rFonts w:hint="eastAsia" w:cs="Times New Roman"/>
          <w:color w:val="auto"/>
        </w:rPr>
        <w:t>m</w:t>
      </w:r>
      <w:r>
        <w:rPr>
          <w:rFonts w:hint="eastAsia" w:cs="Times New Roman"/>
          <w:color w:val="auto"/>
          <w:vertAlign w:val="superscript"/>
        </w:rPr>
        <w:t>2</w:t>
      </w:r>
      <w:r>
        <w:rPr>
          <w:rFonts w:cs="Times New Roman"/>
          <w:color w:val="auto"/>
        </w:rPr>
        <w:t>，项目区水土流失状况为：土壤侵蚀模数为</w:t>
      </w:r>
      <w:r>
        <w:rPr>
          <w:rFonts w:hint="eastAsia" w:cs="Times New Roman"/>
          <w:color w:val="auto"/>
          <w:lang w:val="en-US" w:eastAsia="zh-CN"/>
        </w:rPr>
        <w:t>2100</w:t>
      </w:r>
      <w:r>
        <w:rPr>
          <w:rFonts w:cs="Times New Roman"/>
          <w:color w:val="auto"/>
        </w:rPr>
        <w:t>t/k</w:t>
      </w:r>
      <w:r>
        <w:rPr>
          <w:rFonts w:hint="eastAsia" w:cs="Times New Roman"/>
          <w:color w:val="auto"/>
        </w:rPr>
        <w:t>m²</w:t>
      </w:r>
      <w:r>
        <w:rPr>
          <w:rFonts w:cs="Times New Roman"/>
          <w:color w:val="auto"/>
        </w:rPr>
        <w:t>·a，年均水土流失量</w:t>
      </w:r>
      <w:r>
        <w:rPr>
          <w:rFonts w:hint="eastAsia" w:cs="Times New Roman"/>
          <w:color w:val="auto"/>
          <w:lang w:val="en-US" w:eastAsia="zh-CN"/>
        </w:rPr>
        <w:t>114.03</w:t>
      </w:r>
      <w:r>
        <w:rPr>
          <w:rFonts w:cs="Times New Roman"/>
          <w:color w:val="auto"/>
        </w:rPr>
        <w:t>t。</w:t>
      </w:r>
    </w:p>
    <w:p>
      <w:pPr>
        <w:ind w:firstLine="480"/>
        <w:rPr>
          <w:rFonts w:cs="Times New Roman"/>
          <w:color w:val="auto"/>
        </w:rPr>
      </w:pPr>
      <w:r>
        <w:rPr>
          <w:rFonts w:cs="Times New Roman"/>
          <w:color w:val="auto"/>
        </w:rPr>
        <w:t>项目建成后：监测结果显示，截止20</w:t>
      </w:r>
      <w:r>
        <w:rPr>
          <w:rFonts w:hint="eastAsia" w:cs="Times New Roman"/>
          <w:color w:val="auto"/>
          <w:lang w:val="en-US" w:eastAsia="zh-CN"/>
        </w:rPr>
        <w:t>18</w:t>
      </w:r>
      <w:r>
        <w:rPr>
          <w:rFonts w:cs="Times New Roman"/>
          <w:color w:val="auto"/>
        </w:rPr>
        <w:t>年</w:t>
      </w:r>
      <w:r>
        <w:rPr>
          <w:rFonts w:hint="eastAsia" w:cs="Times New Roman"/>
          <w:color w:val="auto"/>
        </w:rPr>
        <w:t>1</w:t>
      </w:r>
      <w:r>
        <w:rPr>
          <w:rFonts w:hint="eastAsia" w:cs="Times New Roman"/>
          <w:color w:val="auto"/>
          <w:lang w:val="en-US" w:eastAsia="zh-CN"/>
        </w:rPr>
        <w:t>2</w:t>
      </w:r>
      <w:r>
        <w:rPr>
          <w:rFonts w:cs="Times New Roman"/>
          <w:color w:val="auto"/>
        </w:rPr>
        <w:t>月，项目建设区已扰动地表面积为</w:t>
      </w:r>
      <w:r>
        <w:rPr>
          <w:rFonts w:hint="eastAsia" w:cs="Times New Roman"/>
          <w:color w:val="auto"/>
          <w:lang w:val="en-US" w:eastAsia="zh-CN"/>
        </w:rPr>
        <w:t>5.43</w:t>
      </w:r>
      <w:r>
        <w:rPr>
          <w:rFonts w:cs="Times New Roman"/>
          <w:color w:val="auto"/>
        </w:rPr>
        <w:t>h</w:t>
      </w:r>
      <w:r>
        <w:rPr>
          <w:rFonts w:hint="eastAsia" w:cs="Times New Roman"/>
          <w:color w:val="auto"/>
        </w:rPr>
        <w:t>m</w:t>
      </w:r>
      <w:r>
        <w:rPr>
          <w:rFonts w:hint="eastAsia" w:cs="Times New Roman"/>
          <w:color w:val="auto"/>
          <w:vertAlign w:val="superscript"/>
        </w:rPr>
        <w:t>2</w:t>
      </w:r>
      <w:r>
        <w:rPr>
          <w:rFonts w:cs="Times New Roman"/>
          <w:color w:val="auto"/>
        </w:rPr>
        <w:t>，平均土壤侵蚀模数</w:t>
      </w:r>
      <w:r>
        <w:rPr>
          <w:rFonts w:hint="eastAsia" w:cs="Times New Roman"/>
          <w:color w:val="auto"/>
          <w:lang w:val="en-US" w:eastAsia="zh-CN"/>
        </w:rPr>
        <w:t>350</w:t>
      </w:r>
      <w:r>
        <w:rPr>
          <w:rFonts w:cs="Times New Roman"/>
          <w:color w:val="auto"/>
        </w:rPr>
        <w:t>t/km²·a，自然恢复期土壤流失量为</w:t>
      </w:r>
      <w:r>
        <w:rPr>
          <w:rFonts w:hint="eastAsia" w:cs="Times New Roman"/>
          <w:color w:val="auto"/>
          <w:lang w:val="en-US" w:eastAsia="zh-CN"/>
        </w:rPr>
        <w:t>38.02</w:t>
      </w:r>
      <w:r>
        <w:rPr>
          <w:rFonts w:cs="Times New Roman"/>
          <w:color w:val="auto"/>
        </w:rPr>
        <w:t>t。</w:t>
      </w:r>
    </w:p>
    <w:p>
      <w:pPr>
        <w:ind w:firstLine="480"/>
        <w:rPr>
          <w:rFonts w:cs="Times New Roman"/>
          <w:color w:val="auto"/>
        </w:rPr>
      </w:pPr>
      <w:r>
        <w:rPr>
          <w:rFonts w:cs="Times New Roman"/>
          <w:color w:val="auto"/>
        </w:rPr>
        <w:t>根据监测点观测数据，结合实地调查所得资料分析，在监测时段内（</w:t>
      </w:r>
      <w:r>
        <w:rPr>
          <w:rFonts w:hint="eastAsia" w:cs="Times New Roman"/>
          <w:color w:val="auto"/>
        </w:rPr>
        <w:t>201</w:t>
      </w:r>
      <w:r>
        <w:rPr>
          <w:rFonts w:hint="eastAsia" w:cs="Times New Roman"/>
          <w:color w:val="auto"/>
          <w:lang w:val="en-US" w:eastAsia="zh-CN"/>
        </w:rPr>
        <w:t>6</w:t>
      </w:r>
      <w:r>
        <w:rPr>
          <w:rFonts w:cs="Times New Roman"/>
          <w:color w:val="auto"/>
        </w:rPr>
        <w:t>年</w:t>
      </w:r>
      <w:r>
        <w:rPr>
          <w:rFonts w:hint="eastAsia" w:cs="Times New Roman"/>
          <w:color w:val="auto"/>
          <w:lang w:val="en-US" w:eastAsia="zh-CN"/>
        </w:rPr>
        <w:t>1</w:t>
      </w:r>
      <w:r>
        <w:rPr>
          <w:rFonts w:cs="Times New Roman"/>
          <w:color w:val="auto"/>
        </w:rPr>
        <w:t>月～20</w:t>
      </w:r>
      <w:r>
        <w:rPr>
          <w:rFonts w:hint="eastAsia" w:cs="Times New Roman"/>
          <w:color w:val="auto"/>
          <w:lang w:val="en-US" w:eastAsia="zh-CN"/>
        </w:rPr>
        <w:t>18</w:t>
      </w:r>
      <w:r>
        <w:rPr>
          <w:rFonts w:cs="Times New Roman"/>
          <w:color w:val="auto"/>
        </w:rPr>
        <w:t>年</w:t>
      </w:r>
      <w:r>
        <w:rPr>
          <w:rFonts w:hint="eastAsia" w:cs="Times New Roman"/>
          <w:color w:val="auto"/>
          <w:lang w:val="en-US" w:eastAsia="zh-CN"/>
        </w:rPr>
        <w:t>12</w:t>
      </w:r>
      <w:r>
        <w:rPr>
          <w:rFonts w:cs="Times New Roman"/>
          <w:color w:val="auto"/>
        </w:rPr>
        <w:t>月），本工程扰动区域共产生土壤流失量</w:t>
      </w:r>
      <w:r>
        <w:rPr>
          <w:rFonts w:hint="eastAsia" w:cs="Times New Roman"/>
          <w:color w:val="auto"/>
          <w:lang w:val="en-US" w:eastAsia="zh-CN"/>
        </w:rPr>
        <w:t>114.03</w:t>
      </w:r>
      <w:r>
        <w:rPr>
          <w:rFonts w:cs="Times New Roman"/>
          <w:color w:val="auto"/>
        </w:rPr>
        <w:t>t，在项目</w:t>
      </w:r>
      <w:r>
        <w:rPr>
          <w:rFonts w:hint="eastAsia" w:cs="Times New Roman"/>
          <w:color w:val="auto"/>
        </w:rPr>
        <w:t>基本建成</w:t>
      </w:r>
      <w:r>
        <w:rPr>
          <w:rFonts w:cs="Times New Roman"/>
          <w:color w:val="auto"/>
        </w:rPr>
        <w:t>之后的监测时段内（</w:t>
      </w:r>
      <w:r>
        <w:rPr>
          <w:rFonts w:hint="eastAsia" w:cs="Times New Roman"/>
          <w:color w:val="auto"/>
        </w:rPr>
        <w:t>2020</w:t>
      </w:r>
      <w:r>
        <w:rPr>
          <w:rFonts w:cs="Times New Roman"/>
          <w:color w:val="auto"/>
        </w:rPr>
        <w:t>年</w:t>
      </w:r>
      <w:r>
        <w:rPr>
          <w:rFonts w:hint="eastAsia" w:cs="Times New Roman"/>
          <w:color w:val="auto"/>
        </w:rPr>
        <w:t>10</w:t>
      </w:r>
      <w:r>
        <w:rPr>
          <w:rFonts w:cs="Times New Roman"/>
          <w:color w:val="auto"/>
        </w:rPr>
        <w:t>月～20</w:t>
      </w:r>
      <w:r>
        <w:rPr>
          <w:rFonts w:hint="eastAsia" w:cs="Times New Roman"/>
          <w:color w:val="auto"/>
        </w:rPr>
        <w:t>20</w:t>
      </w:r>
      <w:r>
        <w:rPr>
          <w:rFonts w:cs="Times New Roman"/>
          <w:color w:val="auto"/>
        </w:rPr>
        <w:t>年</w:t>
      </w:r>
      <w:r>
        <w:rPr>
          <w:rFonts w:hint="eastAsia" w:cs="Times New Roman"/>
          <w:color w:val="auto"/>
        </w:rPr>
        <w:t>10</w:t>
      </w:r>
      <w:r>
        <w:rPr>
          <w:rFonts w:cs="Times New Roman"/>
          <w:color w:val="auto"/>
        </w:rPr>
        <w:t>月），本工程扰动区域共产生土壤流失量</w:t>
      </w:r>
      <w:r>
        <w:rPr>
          <w:rFonts w:hint="eastAsia" w:cs="Times New Roman"/>
          <w:color w:val="auto"/>
          <w:lang w:val="en-US" w:eastAsia="zh-CN"/>
        </w:rPr>
        <w:t>38.02</w:t>
      </w:r>
      <w:r>
        <w:rPr>
          <w:rFonts w:cs="Times New Roman"/>
          <w:color w:val="auto"/>
        </w:rPr>
        <w:t>t。</w:t>
      </w:r>
    </w:p>
    <w:p>
      <w:pPr>
        <w:rPr>
          <w:rFonts w:hint="default" w:ascii="Times New Roman" w:hAnsi="Times New Roman" w:eastAsia="仿宋_GB2312" w:cs="Times New Roman"/>
          <w:color w:val="auto"/>
          <w:spacing w:val="0"/>
          <w:sz w:val="24"/>
        </w:rPr>
      </w:pPr>
      <w:r>
        <w:rPr>
          <w:rFonts w:cs="Times New Roman"/>
          <w:color w:val="auto"/>
        </w:rPr>
        <w:t>通过监测实地调查，结合建设单位提供资料，在工程施工过程中，建设单位实施了一系列的水土流失防治措施，有效减轻了因施工建设造成的水土流失。结合水土流失防治指标动态监测结果的对比分析，可以看出，随着项目区水土保持工程措施的逐步完善，项目建设区无水土流失面积及微度流失面积大幅增加，轻度流失面积大幅减少。</w:t>
      </w:r>
    </w:p>
    <w:p>
      <w:pPr>
        <w:pStyle w:val="3"/>
        <w:rPr>
          <w:rFonts w:hint="default"/>
          <w:color w:val="auto"/>
        </w:rPr>
      </w:pPr>
      <w:bookmarkStart w:id="188" w:name="_Toc400530806"/>
      <w:bookmarkStart w:id="189" w:name="_Toc371174631"/>
      <w:bookmarkStart w:id="190" w:name="_Toc400529705"/>
      <w:bookmarkStart w:id="191" w:name="_Toc14558"/>
      <w:r>
        <w:rPr>
          <w:rFonts w:hint="default"/>
          <w:color w:val="auto"/>
        </w:rPr>
        <w:t>7.2水土保持措施评价</w:t>
      </w:r>
      <w:bookmarkEnd w:id="188"/>
      <w:bookmarkEnd w:id="189"/>
      <w:bookmarkEnd w:id="190"/>
      <w:bookmarkEnd w:id="191"/>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建设单位按法律法规要求，编制了水土保持方案报告书，明确了水土保持工程建设的管理部门和联系人，并在与主体工程施工单位签订的合同中明确提出了水土保持的相关内容；在项目建设过程中因害设防，根据需要及时实施了部分拦挡、护坡及植被绿化等措施，这些水土保持措施对建设过程中的水土流失防治发挥了明显的作用。但是相对于主体工程而言，相当一部分水土保持措施实施进度相对滞后。监测结果显示，建设单位在建设过程中，各防治分区采取了适宜的水土保持工程措施、植物措施和临时措施，水土保持措施的总体布局较为合理，防治效果比较明显，有效地减少了项目建设过程中造成的水土流失量，达到了《方案（报批稿）》中的设计要求；但建设单位应抓紧时间对施工扰动未治理区域和</w:t>
      </w:r>
      <w:r>
        <w:rPr>
          <w:rFonts w:hint="eastAsia" w:cs="Times New Roman"/>
          <w:color w:val="auto"/>
          <w:spacing w:val="0"/>
          <w:sz w:val="24"/>
          <w:lang w:val="en-US" w:eastAsia="zh-CN"/>
        </w:rPr>
        <w:t>弃土场和取料场增加</w:t>
      </w:r>
      <w:r>
        <w:rPr>
          <w:rFonts w:hint="default" w:ascii="Times New Roman" w:hAnsi="Times New Roman" w:eastAsia="仿宋_GB2312" w:cs="Times New Roman"/>
          <w:color w:val="auto"/>
          <w:spacing w:val="0"/>
          <w:sz w:val="24"/>
        </w:rPr>
        <w:t>实施相应的水土保持措施，更大程度全面有效地防治水土流失。</w:t>
      </w:r>
    </w:p>
    <w:p>
      <w:pPr>
        <w:pStyle w:val="3"/>
        <w:rPr>
          <w:rFonts w:hint="default"/>
          <w:color w:val="auto"/>
        </w:rPr>
      </w:pPr>
      <w:bookmarkStart w:id="192" w:name="_Toc371174632"/>
      <w:bookmarkStart w:id="193" w:name="_Toc400529706"/>
      <w:bookmarkStart w:id="194" w:name="_Toc400530807"/>
      <w:bookmarkStart w:id="195" w:name="_Toc27549"/>
      <w:r>
        <w:rPr>
          <w:rFonts w:hint="default"/>
          <w:color w:val="auto"/>
        </w:rPr>
        <w:t>7.3存在问题及建议</w:t>
      </w:r>
      <w:bookmarkEnd w:id="192"/>
      <w:bookmarkEnd w:id="193"/>
      <w:bookmarkEnd w:id="194"/>
      <w:bookmarkEnd w:id="195"/>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本项目已经实施的水土保持措施布局比较合理，对项目建设活动造成的水土流失发挥了较为明显的防治作用，能有效地控制部分区域的水土流失，但本项目水土保持工作还存在一些问题和不足。</w:t>
      </w:r>
    </w:p>
    <w:p>
      <w:pPr>
        <w:ind w:firstLine="480"/>
        <w:rPr>
          <w:color w:val="auto"/>
        </w:rPr>
      </w:pPr>
      <w:r>
        <w:rPr>
          <w:color w:val="auto"/>
        </w:rPr>
        <w:t>（1）相对于主体工程建设进度而言，相当一部分水土保持措施实施 进度相对滞后，离水土保持“三同时”制度要求还有一定差距，建议建设单位在以后的工程建设活动中认真落实水土保持“三同时”制度，做好项目建设过程中的水土流失防治工作。</w:t>
      </w:r>
    </w:p>
    <w:p>
      <w:pPr>
        <w:rPr>
          <w:rFonts w:hint="default"/>
          <w:color w:val="auto"/>
        </w:rPr>
      </w:pPr>
      <w:r>
        <w:rPr>
          <w:color w:val="auto"/>
        </w:rPr>
        <w:t>（</w:t>
      </w:r>
      <w:r>
        <w:rPr>
          <w:rFonts w:hint="eastAsia"/>
          <w:color w:val="auto"/>
          <w:lang w:val="en-US" w:eastAsia="zh-CN"/>
        </w:rPr>
        <w:t>2</w:t>
      </w:r>
      <w:r>
        <w:rPr>
          <w:color w:val="auto"/>
        </w:rPr>
        <w:t>）水土保持措施在项目运行期间容易损坏，建议项目业主认真落实管护措施，并定期对排水沟进行清淤；对已破坏的植物措施应及时进行补植补种。</w:t>
      </w:r>
    </w:p>
    <w:p>
      <w:pPr>
        <w:numPr>
          <w:ilvl w:val="0"/>
          <w:numId w:val="0"/>
        </w:numPr>
        <w:rPr>
          <w:rFonts w:hint="eastAsia"/>
          <w:color w:val="auto"/>
          <w:lang w:val="en-US" w:eastAsia="zh-CN"/>
        </w:rPr>
      </w:pPr>
    </w:p>
    <w:sectPr>
      <w:headerReference r:id="rId15" w:type="default"/>
      <w:footerReference r:id="rId1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jc w:val="left"/>
      <w:rPr>
        <w:rFonts w:hint="eastAsia" w:eastAsia="仿宋_GB2312"/>
        <w:sz w:val="18"/>
        <w:szCs w:val="18"/>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jc w:val="left"/>
      <w:rPr>
        <w:rFonts w:hint="eastAsia" w:eastAsia="仿宋_GB2312"/>
        <w:sz w:val="18"/>
        <w:szCs w:val="18"/>
        <w:lang w:eastAsia="zh-CN"/>
      </w:rPr>
    </w:pPr>
    <w:r>
      <w:rPr>
        <w:sz w:val="18"/>
      </w:rPr>
      <mc:AlternateContent>
        <mc:Choice Requires="wps">
          <w:drawing>
            <wp:anchor distT="0" distB="0" distL="114300" distR="114300" simplePos="0" relativeHeight="2516838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仿宋_GB2312"/>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pOhgV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bpOhg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仿宋_GB2312"/>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jc w:val="center"/>
      <w:rPr>
        <w:rFonts w:hint="eastAsia" w:eastAsia="仿宋_GB2312"/>
        <w:sz w:val="18"/>
        <w:szCs w:val="18"/>
        <w:lang w:eastAsia="zh-CN"/>
      </w:rPr>
    </w:pPr>
    <w:r>
      <w:rPr>
        <w:rFonts w:hint="eastAsia"/>
        <w:sz w:val="18"/>
        <w:szCs w:val="18"/>
        <w:lang w:eastAsia="zh-CN"/>
      </w:rPr>
      <w:t>贵州天保生态股份有限公司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0" w:leftChars="0" w:firstLine="0" w:firstLineChars="0"/>
      <w:jc w:val="center"/>
    </w:pPr>
    <w:r>
      <w:rPr>
        <w:rFonts w:hint="eastAsia"/>
        <w:sz w:val="18"/>
        <w:szCs w:val="18"/>
        <w:lang w:eastAsia="zh-CN"/>
      </w:rPr>
      <w:t>贵州天保生态股份有限公司</w:t>
    </w:r>
    <w:r>
      <w:rPr>
        <w:rFonts w:hint="eastAsia" w:ascii="仿宋_GB2312" w:hAnsi="仿宋_GB2312" w:eastAsia="仿宋_GB2312" w:cs="仿宋_GB2312"/>
        <w:sz w:val="24"/>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jc w:val="center"/>
                            <w:rPr>
                              <w:sz w:val="18"/>
                              <w:szCs w:val="18"/>
                            </w:rPr>
                          </w:pPr>
                          <w:r>
                            <w:rPr>
                              <w:sz w:val="18"/>
                              <w:szCs w:val="18"/>
                            </w:rPr>
                            <w:fldChar w:fldCharType="begin"/>
                          </w:r>
                          <w:r>
                            <w:rPr>
                              <w:sz w:val="18"/>
                              <w:szCs w:val="18"/>
                            </w:rPr>
                            <w:instrText xml:space="preserve"> PAGE </w:instrText>
                          </w:r>
                          <w:r>
                            <w:rPr>
                              <w:sz w:val="18"/>
                              <w:szCs w:val="18"/>
                            </w:rPr>
                            <w:fldChar w:fldCharType="separate"/>
                          </w:r>
                          <w:r>
                            <w:rPr>
                              <w:sz w:val="18"/>
                              <w:szCs w:val="18"/>
                            </w:rPr>
                            <w:t>2</w:t>
                          </w:r>
                          <w:r>
                            <w:rPr>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t6X4XAgAAFQQAAA4AAABkcnMvZTJvRG9jLnhtbK1TzY7TMBC+I/EO&#10;lu80aVesqqrpquyqCKliVyqIs+s4TST/yXablAeAN+DEhTvP1efYz07TRbucEBdn4pn5Zuabz/Ob&#10;TklyEM43Rhd0PMopEZqbstG7gn7+tHozpcQHpksmjRYFPQpPbxavX81bOxMTUxtZCkcAov2stQWt&#10;Q7CzLPO8For5kbFCw1kZp1jAr9tlpWMt0JXMJnl+nbXGldYZLrzH7V3vpIuEX1WCh/uq8iIQWVD0&#10;FtLp0rmNZ7aYs9nOMVs3/NwG+4cuFGs0il6g7lhgZO+aF1Cq4c54U4URNyozVdVwkWbANOP82TSb&#10;mlmRZgE53l5o8v8Pln88PDjSlAW9Aj2aKezo9OP76efv069vBHcgqLV+hriNRWTo3pkOix7uPS7j&#10;3F3lVPxiIgI/sI4XekUXCI9J08l0msPF4Rt+gJ89pVvnw3thFIlGQR32l2hlh7UPfegQEqtps2qk&#10;TDuUmrQFvb56m6eEiwfgUqNGHKJvNlqh23bnybamPGIwZ3pteMtXDYqvmQ8PzEEMaBgCD/c4KmlQ&#10;xJwtSmrjvv7tPsZjR/BS0kJcBdVQPyXyg8buABgGww3GdjD0Xt0aqHWMh2N5MpHgghzMyhn1Bapf&#10;xhpwMc1RqaBhMG9DL3C8Gi6WyxS0t67Z1X0ClGdZWOuN5bFMJNLb5T6AzMRxJKhn5cwbtJe2dH4n&#10;Udx//qeop9e8e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5K3pfhcCAAAVBAAADgAAAAAA&#10;AAABACAAAAAfAQAAZHJzL2Uyb0RvYy54bWxQSwUGAAAAAAYABgBZAQAAqAUAAAAA&#10;">
              <v:fill on="f" focussize="0,0"/>
              <v:stroke on="f" weight="0.5pt"/>
              <v:imagedata o:title=""/>
              <o:lock v:ext="edit" aspectratio="f"/>
              <v:textbox inset="0mm,0mm,0mm,0mm" style="mso-fit-shape-to-text:t;">
                <w:txbxContent>
                  <w:p>
                    <w:pPr>
                      <w:tabs>
                        <w:tab w:val="center" w:pos="4153"/>
                        <w:tab w:val="right" w:pos="8306"/>
                      </w:tabs>
                      <w:jc w:val="center"/>
                      <w:rPr>
                        <w:sz w:val="18"/>
                        <w:szCs w:val="18"/>
                      </w:rPr>
                    </w:pPr>
                    <w:r>
                      <w:rPr>
                        <w:sz w:val="18"/>
                        <w:szCs w:val="18"/>
                      </w:rPr>
                      <w:fldChar w:fldCharType="begin"/>
                    </w:r>
                    <w:r>
                      <w:rPr>
                        <w:sz w:val="18"/>
                        <w:szCs w:val="18"/>
                      </w:rPr>
                      <w:instrText xml:space="preserve"> PAGE </w:instrText>
                    </w:r>
                    <w:r>
                      <w:rPr>
                        <w:sz w:val="18"/>
                        <w:szCs w:val="18"/>
                      </w:rPr>
                      <w:fldChar w:fldCharType="separate"/>
                    </w:r>
                    <w:r>
                      <w:rPr>
                        <w:sz w:val="18"/>
                        <w:szCs w:val="18"/>
                      </w:rPr>
                      <w:t>2</w:t>
                    </w:r>
                    <w:r>
                      <w:rPr>
                        <w:sz w:val="18"/>
                        <w:szCs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left="0" w:leftChars="0" w:firstLine="0" w:firstLineChars="0"/>
      <w:jc w:val="center"/>
      <w:rPr>
        <w:sz w:val="18"/>
      </w:rPr>
    </w:pPr>
    <w:r>
      <w:rPr>
        <w:rFonts w:hint="eastAsia"/>
        <w:sz w:val="18"/>
        <w:szCs w:val="18"/>
        <w:lang w:eastAsia="zh-CN"/>
      </w:rPr>
      <w:t>贵州天保生态股份有限公司</w:t>
    </w: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jc w:val="center"/>
                          </w:pPr>
                          <w:r>
                            <w:fldChar w:fldCharType="begin"/>
                          </w:r>
                          <w:r>
                            <w:instrText xml:space="preserve"> PAGE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7t3o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C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H7t3oVAgAAFQQAAA4AAAAAAAAA&#10;AQAgAAAAHwEAAGRycy9lMm9Eb2MueG1sUEsFBgAAAAAGAAYAWQEAAKYFAAAAAA==&#10;">
              <v:fill on="f" focussize="0,0"/>
              <v:stroke on="f" weight="0.5pt"/>
              <v:imagedata o:title=""/>
              <o:lock v:ext="edit" aspectratio="f"/>
              <v:textbox inset="0mm,0mm,0mm,0mm" style="mso-fit-shape-to-text:t;">
                <w:txbxContent>
                  <w:p>
                    <w:pPr>
                      <w:tabs>
                        <w:tab w:val="center" w:pos="4153"/>
                        <w:tab w:val="right" w:pos="8306"/>
                      </w:tabs>
                      <w:jc w:val="center"/>
                    </w:pPr>
                    <w:r>
                      <w:fldChar w:fldCharType="begin"/>
                    </w:r>
                    <w:r>
                      <w:instrText xml:space="preserve"> PAGE </w:instrText>
                    </w:r>
                    <w:r>
                      <w:fldChar w:fldCharType="separate"/>
                    </w:r>
                    <w:r>
                      <w:t>45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left="0" w:leftChars="0" w:firstLine="0" w:firstLineChars="0"/>
      <w:jc w:val="center"/>
      <w:rPr>
        <w:sz w:val="18"/>
        <w:szCs w:val="18"/>
      </w:rPr>
    </w:pPr>
    <w:r>
      <w:rPr>
        <w:rFonts w:hint="eastAsia"/>
        <w:sz w:val="18"/>
        <w:szCs w:val="18"/>
        <w:lang w:eastAsia="zh-CN"/>
      </w:rPr>
      <w:t>贵州天保生态股份有限公司</w:t>
    </w:r>
    <w:r>
      <w:rPr>
        <w:sz w:val="18"/>
        <w:szCs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jc w:val="center"/>
                          </w:pPr>
                          <w:r>
                            <w:fldChar w:fldCharType="begin"/>
                          </w:r>
                          <w:r>
                            <w:instrText xml:space="preserve"> PAGE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tabs>
                        <w:tab w:val="center" w:pos="4153"/>
                        <w:tab w:val="right" w:pos="8306"/>
                      </w:tabs>
                      <w:jc w:val="center"/>
                    </w:pPr>
                    <w:r>
                      <w:fldChar w:fldCharType="begin"/>
                    </w:r>
                    <w:r>
                      <w:instrText xml:space="preserve"> PAGE </w:instrText>
                    </w:r>
                    <w:r>
                      <w:fldChar w:fldCharType="separate"/>
                    </w:r>
                    <w:r>
                      <w:t>45</w:t>
                    </w:r>
                    <w:r>
                      <w:fldChar w:fldCharType="end"/>
                    </w:r>
                  </w:p>
                </w:txbxContent>
              </v:textbox>
            </v:shape>
          </w:pict>
        </mc:Fallback>
      </mc:AlternateContent>
    </w:r>
  </w:p>
  <w:p>
    <w:pPr>
      <w:spacing w:line="14" w:lineRule="auto"/>
      <w:rPr>
        <w:sz w:val="2"/>
      </w:rPr>
    </w:pPr>
    <w:r>
      <w:rPr>
        <w:sz w:val="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仿宋_GB2312"/>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7"/>
                      <w:rPr>
                        <w:rFonts w:hint="eastAsia" w:eastAsia="仿宋_GB2312"/>
                        <w:lang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lang w:eastAsia="zh-CN"/>
      </w:rPr>
      <w:t>生产</w:t>
    </w:r>
    <w:r>
      <w:rPr>
        <w:rFonts w:hint="default"/>
      </w:rPr>
      <w:t>建设项目水土保持监测特性表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default"/>
        <w:lang w:val="en-US" w:eastAsia="zh-CN"/>
      </w:rPr>
    </w:pPr>
    <w:r>
      <w:rPr>
        <w:rFonts w:hint="eastAsia"/>
        <w:lang w:val="en-US" w:eastAsia="zh-CN"/>
      </w:rPr>
      <w:t>1建设项目及水土保持工作</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hint="eastAsia" w:eastAsia="仿宋_GB2312"/>
        <w:lang w:val="en-US" w:eastAsia="zh-CN"/>
      </w:rPr>
    </w:pPr>
    <w:r>
      <w:rPr>
        <w:rFonts w:hint="eastAsia"/>
        <w:lang w:val="en-US" w:eastAsia="zh-CN"/>
      </w:rPr>
      <w:t>2监测内容、方法及过程</w:t>
    </w:r>
    <w:r>
      <w:rPr>
        <w:rFonts w:hint="eastAsia" w:eastAsia="仿宋_GB2312"/>
        <w:lang w:val="en-US" w:eastAsia="zh-CN"/>
      </w:rPr>
      <w:fldChar w:fldCharType="begin"/>
    </w:r>
    <w:r>
      <w:rPr>
        <w:rFonts w:hint="eastAsia" w:eastAsia="仿宋_GB2312"/>
        <w:lang w:val="en-US" w:eastAsia="zh-CN"/>
      </w:rPr>
      <w:instrText xml:space="preserve"> ASK \* MERGEFORMAT </w:instrText>
    </w:r>
    <w:r>
      <w:rPr>
        <w:rFonts w:hint="eastAsia" w:eastAsia="仿宋_GB2312"/>
        <w:lang w:val="en-US" w:eastAsia="zh-CN"/>
      </w:rPr>
      <w:fldChar w:fldCharType="separate"/>
    </w:r>
    <w:r>
      <w:rPr>
        <w:rFonts w:hint="eastAsia" w:eastAsia="仿宋_GB2312"/>
        <w:lang w:val="en-US" w:eastAsia="zh-CN"/>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wordWrap w:val="0"/>
      <w:rPr>
        <w:rFonts w:hint="eastAsia"/>
        <w:lang w:eastAsia="zh-CN"/>
      </w:rPr>
    </w:pPr>
    <w:r>
      <w:rPr>
        <w:rFonts w:hint="eastAsia"/>
        <w:lang w:val="en-US" w:eastAsia="zh-CN"/>
      </w:rPr>
      <w:t>3 重点部位水土流失动态监测结果</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hint="eastAsia"/>
        <w:lang w:val="en-US" w:eastAsia="zh-CN"/>
      </w:rPr>
    </w:pPr>
    <w:r>
      <w:rPr>
        <w:rFonts w:hint="eastAsia"/>
        <w:lang w:val="en-US" w:eastAsia="zh-CN"/>
      </w:rPr>
      <w:t>4 水土流失防治措施监测效果</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hint="eastAsia"/>
        <w:lang w:val="en-US" w:eastAsia="zh-CN"/>
      </w:rPr>
    </w:pPr>
    <w:r>
      <w:rPr>
        <w:rFonts w:hint="eastAsia"/>
        <w:lang w:val="en-US" w:eastAsia="zh-CN"/>
      </w:rPr>
      <w:t>5</w:t>
    </w:r>
    <w:r>
      <w:rPr>
        <w:rFonts w:hint="default"/>
      </w:rPr>
      <w:t xml:space="preserve"> </w:t>
    </w:r>
    <w:r>
      <w:rPr>
        <w:rFonts w:hint="eastAsia"/>
        <w:lang w:eastAsia="zh-CN"/>
      </w:rPr>
      <w:t>土壤流失量分析</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lang w:val="en-US" w:eastAsia="zh-CN"/>
      </w:rPr>
    </w:pPr>
    <w:r>
      <w:rPr>
        <w:rFonts w:hint="default"/>
      </w:rPr>
      <w:t>6水土流失防治效果监测结果</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default"/>
        <w:lang w:val="en-US" w:eastAsia="zh-CN"/>
      </w:rPr>
    </w:pPr>
    <w:r>
      <w:rPr>
        <w:rFonts w:hint="eastAsia"/>
        <w:lang w:val="en-US" w:eastAsia="zh-CN"/>
      </w:rPr>
      <w:t>7结论</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hyphenationZone w:val="360"/>
  <w:drawingGridVerticalSpacing w:val="165"/>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6477A"/>
    <w:rsid w:val="015E55ED"/>
    <w:rsid w:val="01A16C83"/>
    <w:rsid w:val="020B12AF"/>
    <w:rsid w:val="021D086A"/>
    <w:rsid w:val="031A2297"/>
    <w:rsid w:val="03FD0104"/>
    <w:rsid w:val="041F05F0"/>
    <w:rsid w:val="05445C84"/>
    <w:rsid w:val="05842B2F"/>
    <w:rsid w:val="05AF0BBB"/>
    <w:rsid w:val="062B7BB0"/>
    <w:rsid w:val="069F6E5B"/>
    <w:rsid w:val="06C44C04"/>
    <w:rsid w:val="08841077"/>
    <w:rsid w:val="08E40A9D"/>
    <w:rsid w:val="094A7B76"/>
    <w:rsid w:val="095A5DA8"/>
    <w:rsid w:val="098258AF"/>
    <w:rsid w:val="0A3A09F1"/>
    <w:rsid w:val="0A500F29"/>
    <w:rsid w:val="0B7B6ABB"/>
    <w:rsid w:val="0BAF6784"/>
    <w:rsid w:val="0BD302A0"/>
    <w:rsid w:val="0BE5198E"/>
    <w:rsid w:val="0BF6096B"/>
    <w:rsid w:val="0BF96117"/>
    <w:rsid w:val="0C4537B8"/>
    <w:rsid w:val="0C5A7779"/>
    <w:rsid w:val="0D0E08E9"/>
    <w:rsid w:val="0D897802"/>
    <w:rsid w:val="0DA534A9"/>
    <w:rsid w:val="0E592A04"/>
    <w:rsid w:val="0E64219A"/>
    <w:rsid w:val="0EA401E5"/>
    <w:rsid w:val="0EC84036"/>
    <w:rsid w:val="0F2F0E36"/>
    <w:rsid w:val="0FB36B02"/>
    <w:rsid w:val="0FC04095"/>
    <w:rsid w:val="0FD0499B"/>
    <w:rsid w:val="100952E4"/>
    <w:rsid w:val="10D94635"/>
    <w:rsid w:val="11435A30"/>
    <w:rsid w:val="117507B2"/>
    <w:rsid w:val="12026C9E"/>
    <w:rsid w:val="128345C8"/>
    <w:rsid w:val="139849A5"/>
    <w:rsid w:val="13F3303C"/>
    <w:rsid w:val="13FA1DF8"/>
    <w:rsid w:val="14A45F82"/>
    <w:rsid w:val="14B4086F"/>
    <w:rsid w:val="14B46535"/>
    <w:rsid w:val="151472F3"/>
    <w:rsid w:val="15340F13"/>
    <w:rsid w:val="15843568"/>
    <w:rsid w:val="15D81DD3"/>
    <w:rsid w:val="161F222D"/>
    <w:rsid w:val="16871FA1"/>
    <w:rsid w:val="16E93DFF"/>
    <w:rsid w:val="17034DDE"/>
    <w:rsid w:val="1706678D"/>
    <w:rsid w:val="17101BFF"/>
    <w:rsid w:val="18147FA6"/>
    <w:rsid w:val="18357257"/>
    <w:rsid w:val="185872CF"/>
    <w:rsid w:val="185D6E67"/>
    <w:rsid w:val="18D328DB"/>
    <w:rsid w:val="19FB52E6"/>
    <w:rsid w:val="1A006E8D"/>
    <w:rsid w:val="1A0D78C0"/>
    <w:rsid w:val="1A0F4C7D"/>
    <w:rsid w:val="1A6F714B"/>
    <w:rsid w:val="1BEC5B98"/>
    <w:rsid w:val="1C5E5D82"/>
    <w:rsid w:val="1D70024B"/>
    <w:rsid w:val="1D7972D4"/>
    <w:rsid w:val="1DAF0A49"/>
    <w:rsid w:val="1DDD5A09"/>
    <w:rsid w:val="1F23481D"/>
    <w:rsid w:val="1F7C3F94"/>
    <w:rsid w:val="1FF646F7"/>
    <w:rsid w:val="20295DBB"/>
    <w:rsid w:val="20AB535F"/>
    <w:rsid w:val="2175309E"/>
    <w:rsid w:val="21DF43F0"/>
    <w:rsid w:val="21EF44F8"/>
    <w:rsid w:val="21F64DC7"/>
    <w:rsid w:val="22201D4B"/>
    <w:rsid w:val="224F666C"/>
    <w:rsid w:val="22826E40"/>
    <w:rsid w:val="234A2E3E"/>
    <w:rsid w:val="242E01B9"/>
    <w:rsid w:val="2442769B"/>
    <w:rsid w:val="248902F0"/>
    <w:rsid w:val="24AB2540"/>
    <w:rsid w:val="24E85448"/>
    <w:rsid w:val="256E20DF"/>
    <w:rsid w:val="25833350"/>
    <w:rsid w:val="25EA727D"/>
    <w:rsid w:val="266279C2"/>
    <w:rsid w:val="27762495"/>
    <w:rsid w:val="2783715C"/>
    <w:rsid w:val="27A254C5"/>
    <w:rsid w:val="27AA1466"/>
    <w:rsid w:val="29042FD1"/>
    <w:rsid w:val="2A2D6E9E"/>
    <w:rsid w:val="2A986692"/>
    <w:rsid w:val="2B055312"/>
    <w:rsid w:val="2B074AB8"/>
    <w:rsid w:val="2B707A3D"/>
    <w:rsid w:val="2C15591D"/>
    <w:rsid w:val="2C206F2D"/>
    <w:rsid w:val="2D434954"/>
    <w:rsid w:val="2E27129F"/>
    <w:rsid w:val="2E280AB0"/>
    <w:rsid w:val="2E4532C6"/>
    <w:rsid w:val="2E6666FB"/>
    <w:rsid w:val="2E895D52"/>
    <w:rsid w:val="30126846"/>
    <w:rsid w:val="3039288A"/>
    <w:rsid w:val="30DB3FF2"/>
    <w:rsid w:val="30F40812"/>
    <w:rsid w:val="31023109"/>
    <w:rsid w:val="31D410DF"/>
    <w:rsid w:val="32986A22"/>
    <w:rsid w:val="343E07BC"/>
    <w:rsid w:val="34C75576"/>
    <w:rsid w:val="3576503B"/>
    <w:rsid w:val="361023D7"/>
    <w:rsid w:val="365F1332"/>
    <w:rsid w:val="37421190"/>
    <w:rsid w:val="376611AB"/>
    <w:rsid w:val="37D3340C"/>
    <w:rsid w:val="384213C1"/>
    <w:rsid w:val="384F7687"/>
    <w:rsid w:val="38AF015D"/>
    <w:rsid w:val="38B46FBC"/>
    <w:rsid w:val="390C27E7"/>
    <w:rsid w:val="39682C80"/>
    <w:rsid w:val="39C5323E"/>
    <w:rsid w:val="3A361ADE"/>
    <w:rsid w:val="3A634F3F"/>
    <w:rsid w:val="3ABF6D5A"/>
    <w:rsid w:val="3B79739C"/>
    <w:rsid w:val="3C5134E4"/>
    <w:rsid w:val="3DAE5FAE"/>
    <w:rsid w:val="3DEC637D"/>
    <w:rsid w:val="3E5B0B87"/>
    <w:rsid w:val="3E7A2EAD"/>
    <w:rsid w:val="3F8B43F4"/>
    <w:rsid w:val="400C1F7B"/>
    <w:rsid w:val="405B30C6"/>
    <w:rsid w:val="413369F3"/>
    <w:rsid w:val="421D067E"/>
    <w:rsid w:val="421D4A7D"/>
    <w:rsid w:val="43804836"/>
    <w:rsid w:val="43A043B7"/>
    <w:rsid w:val="44041312"/>
    <w:rsid w:val="442E0305"/>
    <w:rsid w:val="45052136"/>
    <w:rsid w:val="459A5807"/>
    <w:rsid w:val="45A66733"/>
    <w:rsid w:val="46056BBB"/>
    <w:rsid w:val="462F144E"/>
    <w:rsid w:val="46B93106"/>
    <w:rsid w:val="46CD747C"/>
    <w:rsid w:val="46E428DC"/>
    <w:rsid w:val="46F73CCF"/>
    <w:rsid w:val="47634A8E"/>
    <w:rsid w:val="47731290"/>
    <w:rsid w:val="480253A4"/>
    <w:rsid w:val="48152F44"/>
    <w:rsid w:val="481B4415"/>
    <w:rsid w:val="4901724F"/>
    <w:rsid w:val="49DB6BA0"/>
    <w:rsid w:val="4A3D7AC4"/>
    <w:rsid w:val="4A725601"/>
    <w:rsid w:val="4A7B1867"/>
    <w:rsid w:val="4BAB3083"/>
    <w:rsid w:val="4BC31060"/>
    <w:rsid w:val="4CA16027"/>
    <w:rsid w:val="4D755426"/>
    <w:rsid w:val="4DBA3C8D"/>
    <w:rsid w:val="4E530B91"/>
    <w:rsid w:val="4E9A72BF"/>
    <w:rsid w:val="4EBF7734"/>
    <w:rsid w:val="4EDC0B2E"/>
    <w:rsid w:val="50055789"/>
    <w:rsid w:val="506B5B97"/>
    <w:rsid w:val="515F7F92"/>
    <w:rsid w:val="517F4984"/>
    <w:rsid w:val="518E7075"/>
    <w:rsid w:val="51B3758E"/>
    <w:rsid w:val="51E020EB"/>
    <w:rsid w:val="526251D6"/>
    <w:rsid w:val="5365418D"/>
    <w:rsid w:val="53906442"/>
    <w:rsid w:val="53D12299"/>
    <w:rsid w:val="53E63B9C"/>
    <w:rsid w:val="540F1C3B"/>
    <w:rsid w:val="54A17A0F"/>
    <w:rsid w:val="54A54110"/>
    <w:rsid w:val="55050121"/>
    <w:rsid w:val="550D4584"/>
    <w:rsid w:val="552510FA"/>
    <w:rsid w:val="55272BF3"/>
    <w:rsid w:val="5582404F"/>
    <w:rsid w:val="568E7FCC"/>
    <w:rsid w:val="570D63F1"/>
    <w:rsid w:val="571116DF"/>
    <w:rsid w:val="57123A8C"/>
    <w:rsid w:val="57805ACB"/>
    <w:rsid w:val="57CF31A8"/>
    <w:rsid w:val="592E0B3C"/>
    <w:rsid w:val="59881199"/>
    <w:rsid w:val="59DD71C9"/>
    <w:rsid w:val="59F15520"/>
    <w:rsid w:val="5A256776"/>
    <w:rsid w:val="5C5B2252"/>
    <w:rsid w:val="5CDD2ADB"/>
    <w:rsid w:val="5E5E22DF"/>
    <w:rsid w:val="5E620AFD"/>
    <w:rsid w:val="5EA42D2B"/>
    <w:rsid w:val="5F32218E"/>
    <w:rsid w:val="60EA1F31"/>
    <w:rsid w:val="61FD0C41"/>
    <w:rsid w:val="62015325"/>
    <w:rsid w:val="624D033E"/>
    <w:rsid w:val="62560150"/>
    <w:rsid w:val="63130937"/>
    <w:rsid w:val="636B231A"/>
    <w:rsid w:val="650D0B99"/>
    <w:rsid w:val="65CA03A2"/>
    <w:rsid w:val="66415FC5"/>
    <w:rsid w:val="666E5CD4"/>
    <w:rsid w:val="66BF2777"/>
    <w:rsid w:val="675F70AE"/>
    <w:rsid w:val="68651A3E"/>
    <w:rsid w:val="68E24309"/>
    <w:rsid w:val="69415425"/>
    <w:rsid w:val="69A53556"/>
    <w:rsid w:val="69BF7BEE"/>
    <w:rsid w:val="69CA2C73"/>
    <w:rsid w:val="6A456DB6"/>
    <w:rsid w:val="6A9610DE"/>
    <w:rsid w:val="6B0D1F5B"/>
    <w:rsid w:val="6B92292C"/>
    <w:rsid w:val="6BBC7D2B"/>
    <w:rsid w:val="6C1F2DE2"/>
    <w:rsid w:val="6C5A64B7"/>
    <w:rsid w:val="6C9F1FCE"/>
    <w:rsid w:val="6CC51589"/>
    <w:rsid w:val="6D0C225A"/>
    <w:rsid w:val="6E07392D"/>
    <w:rsid w:val="6E9764E4"/>
    <w:rsid w:val="6EC37151"/>
    <w:rsid w:val="6EDB328D"/>
    <w:rsid w:val="6F2862C1"/>
    <w:rsid w:val="6F385719"/>
    <w:rsid w:val="6FDF687B"/>
    <w:rsid w:val="6FE31D3B"/>
    <w:rsid w:val="700B648F"/>
    <w:rsid w:val="7058763C"/>
    <w:rsid w:val="706620DF"/>
    <w:rsid w:val="70E96A3D"/>
    <w:rsid w:val="715672E4"/>
    <w:rsid w:val="7172315A"/>
    <w:rsid w:val="72274543"/>
    <w:rsid w:val="727E0131"/>
    <w:rsid w:val="729F6394"/>
    <w:rsid w:val="72DA5CD1"/>
    <w:rsid w:val="73383569"/>
    <w:rsid w:val="73A406F1"/>
    <w:rsid w:val="73BA5A70"/>
    <w:rsid w:val="73F94999"/>
    <w:rsid w:val="741C28EC"/>
    <w:rsid w:val="745D3EB0"/>
    <w:rsid w:val="746B5731"/>
    <w:rsid w:val="747E3F3A"/>
    <w:rsid w:val="75086966"/>
    <w:rsid w:val="753F21D7"/>
    <w:rsid w:val="75875533"/>
    <w:rsid w:val="77BB0732"/>
    <w:rsid w:val="78091D1F"/>
    <w:rsid w:val="783A55F6"/>
    <w:rsid w:val="785D0686"/>
    <w:rsid w:val="7A5845FF"/>
    <w:rsid w:val="7A6E3849"/>
    <w:rsid w:val="7AC96A91"/>
    <w:rsid w:val="7B133B35"/>
    <w:rsid w:val="7B1800C6"/>
    <w:rsid w:val="7B20667C"/>
    <w:rsid w:val="7C190FD8"/>
    <w:rsid w:val="7C4857FD"/>
    <w:rsid w:val="7C5F22FA"/>
    <w:rsid w:val="7CF25BE4"/>
    <w:rsid w:val="7D9522B0"/>
    <w:rsid w:val="7DA6211E"/>
    <w:rsid w:val="7E17587C"/>
    <w:rsid w:val="7E223F2F"/>
    <w:rsid w:val="7E45494B"/>
    <w:rsid w:val="7E8542F7"/>
    <w:rsid w:val="7EFB4719"/>
    <w:rsid w:val="7F7D5DE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pageBreakBefore w:val="0"/>
      <w:widowControl w:val="0"/>
      <w:wordWrap/>
      <w:overflowPunct/>
      <w:topLinePunct/>
      <w:autoSpaceDE/>
      <w:autoSpaceDN/>
      <w:adjustRightInd w:val="0"/>
      <w:snapToGrid w:val="0"/>
      <w:spacing w:line="360" w:lineRule="auto"/>
      <w:ind w:firstLine="562" w:firstLineChars="200"/>
      <w:jc w:val="both"/>
    </w:pPr>
    <w:rPr>
      <w:rFonts w:ascii="Times New Roman" w:hAnsi="Times New Roman" w:eastAsia="仿宋_GB2312" w:cs="Times New Roman"/>
      <w:kern w:val="2"/>
      <w:sz w:val="24"/>
      <w:szCs w:val="24"/>
      <w:lang w:val="en-US" w:eastAsia="zh-CN" w:bidi="ar-SA"/>
    </w:rPr>
  </w:style>
  <w:style w:type="paragraph" w:styleId="2">
    <w:name w:val="heading 1"/>
    <w:basedOn w:val="1"/>
    <w:next w:val="1"/>
    <w:link w:val="15"/>
    <w:qFormat/>
    <w:uiPriority w:val="0"/>
    <w:pPr>
      <w:keepNext/>
      <w:keepLines/>
      <w:adjustRightInd w:val="0"/>
      <w:snapToGrid w:val="0"/>
      <w:spacing w:beforeAutospacing="0" w:after="50" w:afterLines="50" w:afterAutospacing="0" w:line="240" w:lineRule="auto"/>
      <w:ind w:firstLine="0" w:firstLineChars="0"/>
      <w:outlineLvl w:val="0"/>
    </w:pPr>
    <w:rPr>
      <w:rFonts w:ascii="Times New Roman" w:hAnsi="Times New Roman" w:eastAsia="黑体"/>
      <w:b/>
      <w:kern w:val="44"/>
      <w:sz w:val="32"/>
    </w:rPr>
  </w:style>
  <w:style w:type="paragraph" w:styleId="3">
    <w:name w:val="heading 2"/>
    <w:basedOn w:val="1"/>
    <w:next w:val="1"/>
    <w:link w:val="14"/>
    <w:unhideWhenUsed/>
    <w:qFormat/>
    <w:uiPriority w:val="0"/>
    <w:pPr>
      <w:keepNext/>
      <w:keepLines/>
      <w:adjustRightInd w:val="0"/>
      <w:snapToGrid w:val="0"/>
      <w:spacing w:beforeAutospacing="0" w:after="50" w:afterLines="50" w:afterAutospacing="0" w:line="240" w:lineRule="auto"/>
      <w:ind w:firstLine="0" w:firstLineChars="0"/>
      <w:outlineLvl w:val="1"/>
    </w:pPr>
    <w:rPr>
      <w:rFonts w:ascii="Arial" w:hAnsi="Arial" w:eastAsia="黑体"/>
      <w:b/>
      <w:sz w:val="30"/>
    </w:rPr>
  </w:style>
  <w:style w:type="paragraph" w:styleId="4">
    <w:name w:val="heading 3"/>
    <w:basedOn w:val="1"/>
    <w:next w:val="1"/>
    <w:unhideWhenUsed/>
    <w:qFormat/>
    <w:uiPriority w:val="0"/>
    <w:pPr>
      <w:keepNext/>
      <w:keepLines/>
      <w:spacing w:beforeAutospacing="0" w:after="50" w:afterLines="50" w:afterAutospacing="0" w:line="240" w:lineRule="auto"/>
      <w:ind w:firstLine="0" w:firstLineChars="0"/>
      <w:outlineLvl w:val="2"/>
    </w:pPr>
    <w:rPr>
      <w:rFonts w:ascii="Calibri" w:hAnsi="Calibri" w:eastAsia="黑体"/>
      <w:b/>
      <w:sz w:val="28"/>
    </w:rPr>
  </w:style>
  <w:style w:type="paragraph" w:styleId="5">
    <w:name w:val="heading 4"/>
    <w:basedOn w:val="1"/>
    <w:next w:val="1"/>
    <w:unhideWhenUsed/>
    <w:qFormat/>
    <w:uiPriority w:val="0"/>
    <w:pPr>
      <w:keepNext/>
      <w:keepLines/>
      <w:spacing w:before="280" w:beforeLines="0" w:after="290" w:afterLines="0" w:line="372" w:lineRule="auto"/>
      <w:outlineLvl w:val="3"/>
    </w:pPr>
    <w:rPr>
      <w:rFonts w:ascii="Arial" w:hAnsi="Arial" w:eastAsia="黑体"/>
      <w:b/>
      <w:bCs/>
      <w:kern w:val="2"/>
      <w:sz w:val="28"/>
      <w:szCs w:val="28"/>
      <w:lang w:val="en-US" w:eastAsia="zh-CN" w:bidi="ar-SA"/>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6">
    <w:name w:val="caption"/>
    <w:next w:val="1"/>
    <w:link w:val="18"/>
    <w:unhideWhenUsed/>
    <w:qFormat/>
    <w:uiPriority w:val="0"/>
    <w:pPr>
      <w:keepNext w:val="0"/>
      <w:widowControl w:val="0"/>
      <w:spacing w:line="240" w:lineRule="auto"/>
      <w:jc w:val="center"/>
    </w:pPr>
    <w:rPr>
      <w:rFonts w:ascii="Times New Roman" w:hAnsi="Times New Roman" w:eastAsia="黑体" w:cs="Times New Roman"/>
      <w:sz w:val="21"/>
    </w:rPr>
  </w:style>
  <w:style w:type="paragraph" w:styleId="7">
    <w:name w:val="footer"/>
    <w:basedOn w:val="1"/>
    <w:qFormat/>
    <w:uiPriority w:val="0"/>
    <w:pPr>
      <w:tabs>
        <w:tab w:val="center" w:pos="4153"/>
        <w:tab w:val="right" w:pos="8306"/>
      </w:tabs>
      <w:snapToGrid w:val="0"/>
      <w:jc w:val="left"/>
    </w:pPr>
    <w:rPr>
      <w:rFonts w:ascii="Times New Roman" w:hAnsi="Times New Roman"/>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ind w:firstLine="0" w:firstLineChars="0"/>
      <w:jc w:val="right"/>
      <w:outlineLvl w:val="9"/>
    </w:pPr>
    <w:rPr>
      <w:rFonts w:ascii="Times New Roman" w:hAnsi="Times New Roman"/>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标题 2 Char"/>
    <w:link w:val="3"/>
    <w:qFormat/>
    <w:uiPriority w:val="0"/>
    <w:rPr>
      <w:rFonts w:ascii="Arial" w:hAnsi="Arial" w:eastAsia="黑体"/>
      <w:b/>
      <w:sz w:val="30"/>
    </w:rPr>
  </w:style>
  <w:style w:type="character" w:customStyle="1" w:styleId="15">
    <w:name w:val="标题 1 Char"/>
    <w:link w:val="2"/>
    <w:qFormat/>
    <w:uiPriority w:val="0"/>
    <w:rPr>
      <w:rFonts w:ascii="Times New Roman" w:hAnsi="Times New Roman" w:eastAsia="黑体"/>
      <w:b/>
      <w:kern w:val="44"/>
      <w:sz w:val="32"/>
    </w:rPr>
  </w:style>
  <w:style w:type="paragraph" w:customStyle="1" w:styleId="16">
    <w:name w:val="表格内容"/>
    <w:next w:val="1"/>
    <w:link w:val="19"/>
    <w:qFormat/>
    <w:uiPriority w:val="0"/>
    <w:pPr>
      <w:keepNext w:val="0"/>
      <w:widowControl w:val="0"/>
      <w:jc w:val="center"/>
    </w:pPr>
    <w:rPr>
      <w:rFonts w:ascii="Times New Roman" w:hAnsi="Times New Roman" w:eastAsia="仿宋_GB2312" w:cs="Times New Roman"/>
      <w:sz w:val="21"/>
    </w:rPr>
  </w:style>
  <w:style w:type="paragraph" w:customStyle="1" w:styleId="17">
    <w:name w:val="表格标题"/>
    <w:basedOn w:val="1"/>
    <w:qFormat/>
    <w:uiPriority w:val="0"/>
    <w:pPr>
      <w:spacing w:line="240" w:lineRule="auto"/>
      <w:ind w:firstLine="0" w:firstLineChars="0"/>
      <w:jc w:val="center"/>
    </w:pPr>
    <w:rPr>
      <w:bCs/>
      <w:sz w:val="24"/>
      <w:szCs w:val="21"/>
    </w:rPr>
  </w:style>
  <w:style w:type="character" w:customStyle="1" w:styleId="18">
    <w:name w:val="题注 Char"/>
    <w:link w:val="6"/>
    <w:qFormat/>
    <w:uiPriority w:val="0"/>
    <w:rPr>
      <w:rFonts w:ascii="Times New Roman" w:hAnsi="Times New Roman" w:eastAsia="黑体" w:cs="Times New Roman"/>
      <w:sz w:val="21"/>
    </w:rPr>
  </w:style>
  <w:style w:type="character" w:customStyle="1" w:styleId="19">
    <w:name w:val="表格内容 Char"/>
    <w:link w:val="16"/>
    <w:qFormat/>
    <w:uiPriority w:val="0"/>
    <w:rPr>
      <w:rFonts w:ascii="Times New Roman" w:hAnsi="Times New Roman" w:eastAsia="仿宋_GB2312" w:cs="Times New Roman"/>
      <w:sz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1.xml"/><Relationship Id="rId48" Type="http://schemas.openxmlformats.org/officeDocument/2006/relationships/image" Target="media/image25.wmf"/><Relationship Id="rId47" Type="http://schemas.openxmlformats.org/officeDocument/2006/relationships/oleObject" Target="embeddings/oleObject6.bin"/><Relationship Id="rId46" Type="http://schemas.openxmlformats.org/officeDocument/2006/relationships/image" Target="media/image24.wmf"/><Relationship Id="rId45" Type="http://schemas.openxmlformats.org/officeDocument/2006/relationships/oleObject" Target="embeddings/oleObject5.bin"/><Relationship Id="rId44" Type="http://schemas.openxmlformats.org/officeDocument/2006/relationships/image" Target="media/image23.wmf"/><Relationship Id="rId43" Type="http://schemas.openxmlformats.org/officeDocument/2006/relationships/oleObject" Target="embeddings/oleObject4.bin"/><Relationship Id="rId42" Type="http://schemas.openxmlformats.org/officeDocument/2006/relationships/image" Target="media/image22.wmf"/><Relationship Id="rId41" Type="http://schemas.openxmlformats.org/officeDocument/2006/relationships/oleObject" Target="embeddings/oleObject3.bin"/><Relationship Id="rId40" Type="http://schemas.openxmlformats.org/officeDocument/2006/relationships/image" Target="media/image21.wmf"/><Relationship Id="rId4" Type="http://schemas.openxmlformats.org/officeDocument/2006/relationships/footer" Target="footer2.xml"/><Relationship Id="rId39" Type="http://schemas.openxmlformats.org/officeDocument/2006/relationships/oleObject" Target="embeddings/oleObject2.bin"/><Relationship Id="rId38" Type="http://schemas.openxmlformats.org/officeDocument/2006/relationships/image" Target="media/image20.jpeg"/><Relationship Id="rId37" Type="http://schemas.openxmlformats.org/officeDocument/2006/relationships/image" Target="media/image19.jpeg"/><Relationship Id="rId36" Type="http://schemas.openxmlformats.org/officeDocument/2006/relationships/image" Target="media/image18.jpeg"/><Relationship Id="rId35" Type="http://schemas.openxmlformats.org/officeDocument/2006/relationships/image" Target="media/image17.jpeg"/><Relationship Id="rId34" Type="http://schemas.openxmlformats.org/officeDocument/2006/relationships/image" Target="media/image16.jpeg"/><Relationship Id="rId33" Type="http://schemas.openxmlformats.org/officeDocument/2006/relationships/image" Target="media/image15.jpeg"/><Relationship Id="rId32" Type="http://schemas.openxmlformats.org/officeDocument/2006/relationships/image" Target="media/image14.jpeg"/><Relationship Id="rId31" Type="http://schemas.openxmlformats.org/officeDocument/2006/relationships/image" Target="media/image13.jpeg"/><Relationship Id="rId30" Type="http://schemas.openxmlformats.org/officeDocument/2006/relationships/image" Target="media/image12.jpeg"/><Relationship Id="rId3" Type="http://schemas.openxmlformats.org/officeDocument/2006/relationships/footer" Target="footer1.xml"/><Relationship Id="rId29" Type="http://schemas.openxmlformats.org/officeDocument/2006/relationships/image" Target="media/image11.jpeg"/><Relationship Id="rId28" Type="http://schemas.openxmlformats.org/officeDocument/2006/relationships/image" Target="media/image10.jpeg"/><Relationship Id="rId27" Type="http://schemas.openxmlformats.org/officeDocument/2006/relationships/image" Target="media/image9.jpeg"/><Relationship Id="rId26" Type="http://schemas.openxmlformats.org/officeDocument/2006/relationships/image" Target="media/image8.jpeg"/><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wmf"/><Relationship Id="rId18" Type="http://schemas.openxmlformats.org/officeDocument/2006/relationships/oleObject" Target="embeddings/oleObject1.bin"/><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23354</Words>
  <Characters>28180</Characters>
  <Lines>0</Lines>
  <Paragraphs>0</Paragraphs>
  <TotalTime>2</TotalTime>
  <ScaleCrop>false</ScaleCrop>
  <LinksUpToDate>false</LinksUpToDate>
  <CharactersWithSpaces>40761</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2018-01-16T03:36:00Z</dcterms:created>
  <dc:creator>Administrator</dc:creator>
  <cp:lastModifiedBy>Administrator</cp:lastModifiedBy>
  <dcterms:modified xsi:type="dcterms:W3CDTF">2021-06-23T03:36:39Z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